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CF" w:rsidRPr="004C1ABA" w:rsidRDefault="00EF7850" w:rsidP="00310ACF">
      <w:pPr>
        <w:pStyle w:val="a5"/>
        <w:rPr>
          <w:b/>
          <w:szCs w:val="28"/>
        </w:rPr>
      </w:pPr>
      <w:r>
        <w:rPr>
          <w:szCs w:val="28"/>
        </w:rPr>
        <w:t xml:space="preserve"> </w:t>
      </w:r>
      <w:r w:rsidR="00310ACF" w:rsidRPr="004C1ABA">
        <w:rPr>
          <w:szCs w:val="28"/>
        </w:rPr>
        <w:t xml:space="preserve">Администрации </w:t>
      </w:r>
      <w:r w:rsidR="00310ACF">
        <w:rPr>
          <w:szCs w:val="28"/>
        </w:rPr>
        <w:t>Вагин</w:t>
      </w:r>
      <w:r w:rsidR="00310ACF" w:rsidRPr="004C1ABA">
        <w:rPr>
          <w:szCs w:val="28"/>
        </w:rPr>
        <w:t>ского сельсовета</w:t>
      </w:r>
    </w:p>
    <w:p w:rsidR="00310ACF" w:rsidRPr="004C1ABA" w:rsidRDefault="00310ACF" w:rsidP="00310ACF">
      <w:pPr>
        <w:pStyle w:val="a5"/>
        <w:rPr>
          <w:b/>
          <w:szCs w:val="28"/>
        </w:rPr>
      </w:pPr>
      <w:r w:rsidRPr="004C1ABA">
        <w:rPr>
          <w:szCs w:val="28"/>
        </w:rPr>
        <w:t xml:space="preserve"> Боготольский район</w:t>
      </w:r>
    </w:p>
    <w:p w:rsidR="00310ACF" w:rsidRPr="004C1ABA" w:rsidRDefault="00310ACF" w:rsidP="00310A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BA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:rsidR="00310ACF" w:rsidRPr="004C1ABA" w:rsidRDefault="00310ACF" w:rsidP="00310A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4C1A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0ACF" w:rsidRPr="004C1ABA" w:rsidRDefault="00310ACF" w:rsidP="00310A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BA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>
        <w:rPr>
          <w:rFonts w:ascii="Times New Roman" w:hAnsi="Times New Roman" w:cs="Times New Roman"/>
          <w:bCs/>
          <w:sz w:val="28"/>
          <w:szCs w:val="28"/>
        </w:rPr>
        <w:t>Вагино</w:t>
      </w:r>
    </w:p>
    <w:p w:rsidR="00310ACF" w:rsidRPr="004C1ABA" w:rsidRDefault="00310ACF" w:rsidP="00310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ABA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C5F7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C5F75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4C1ABA">
        <w:rPr>
          <w:rFonts w:ascii="Times New Roman" w:hAnsi="Times New Roman" w:cs="Times New Roman"/>
          <w:sz w:val="28"/>
          <w:szCs w:val="28"/>
        </w:rPr>
        <w:t>2022 года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</w:t>
      </w:r>
      <w:r w:rsidRPr="004C1ABA">
        <w:rPr>
          <w:rFonts w:ascii="Times New Roman" w:hAnsi="Times New Roman" w:cs="Times New Roman"/>
          <w:sz w:val="28"/>
          <w:szCs w:val="28"/>
        </w:rPr>
        <w:t xml:space="preserve">  № </w:t>
      </w:r>
      <w:r w:rsidR="007C5F75">
        <w:rPr>
          <w:rFonts w:ascii="Times New Roman" w:hAnsi="Times New Roman" w:cs="Times New Roman"/>
          <w:sz w:val="28"/>
          <w:szCs w:val="28"/>
        </w:rPr>
        <w:t>11</w:t>
      </w:r>
      <w:r w:rsidRPr="004C1ABA">
        <w:rPr>
          <w:rFonts w:ascii="Times New Roman" w:hAnsi="Times New Roman" w:cs="Times New Roman"/>
          <w:sz w:val="28"/>
          <w:szCs w:val="28"/>
        </w:rPr>
        <w:t>-п</w:t>
      </w:r>
    </w:p>
    <w:p w:rsidR="00310ACF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10ACF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Вагинского </w:t>
      </w:r>
    </w:p>
    <w:p w:rsidR="00310ACF" w:rsidRPr="00EF7850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и», Уставом Вагинского сельсовета</w:t>
      </w:r>
    </w:p>
    <w:p w:rsidR="00310ACF" w:rsidRPr="00143D06" w:rsidRDefault="00310ACF" w:rsidP="00310A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310ACF" w:rsidRPr="0058615E" w:rsidRDefault="00310ACF" w:rsidP="00310A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15E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58615E">
        <w:rPr>
          <w:rFonts w:ascii="Times New Roman" w:eastAsia="Calibri" w:hAnsi="Times New Roman" w:cs="Times New Roman"/>
          <w:sz w:val="28"/>
          <w:szCs w:val="28"/>
        </w:rPr>
        <w:t xml:space="preserve"> сельсовета на 2022 – 2025 годы» (прилагается).</w:t>
      </w:r>
    </w:p>
    <w:p w:rsidR="00310ACF" w:rsidRPr="0058615E" w:rsidRDefault="00310ACF" w:rsidP="00310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15E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 w:rsidRPr="005861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5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10ACF" w:rsidRPr="0058615E" w:rsidRDefault="00310ACF" w:rsidP="00310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5E">
        <w:rPr>
          <w:rFonts w:ascii="Times New Roman" w:hAnsi="Times New Roman" w:cs="Times New Roman"/>
          <w:sz w:val="28"/>
          <w:szCs w:val="28"/>
        </w:rPr>
        <w:t xml:space="preserve"> 3.Настоящее Постановление опубликовать в общественно-политической газете «Земля боготольская» и разместить на официальном сайте Боготольского района в сети Интернет на странице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586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615E">
        <w:rPr>
          <w:rFonts w:ascii="Times New Roman" w:hAnsi="Times New Roman" w:cs="Times New Roman"/>
          <w:sz w:val="28"/>
          <w:szCs w:val="28"/>
        </w:rPr>
        <w:t xml:space="preserve"> сельсовета.                                </w:t>
      </w:r>
    </w:p>
    <w:p w:rsidR="00310ACF" w:rsidRPr="0058615E" w:rsidRDefault="00310ACF" w:rsidP="00310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5E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 в день, следующий за днем его официального опубликования.</w:t>
      </w:r>
    </w:p>
    <w:p w:rsidR="00310ACF" w:rsidRPr="0058615E" w:rsidRDefault="00310ACF" w:rsidP="00310A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0ACF" w:rsidRDefault="00310ACF" w:rsidP="00310ACF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10ACF" w:rsidRPr="0058615E" w:rsidRDefault="00310ACF" w:rsidP="00310ACF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7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586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сельсовета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Р.Р. Ризахан</w:t>
      </w:r>
      <w:r w:rsidRPr="0058615E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CF" w:rsidRDefault="00310ACF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CF" w:rsidRDefault="00310ACF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7C5F75">
      <w:pPr>
        <w:spacing w:after="0" w:line="240" w:lineRule="auto"/>
        <w:ind w:left="487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C5F75" w:rsidRDefault="00143D06" w:rsidP="007C5F75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C5F75" w:rsidRDefault="00310ACF" w:rsidP="007C5F75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сельсовета</w:t>
      </w:r>
      <w:r w:rsidR="007C5F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7C5F75" w:rsidP="007C5F75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01.04.2022 № 11-п</w:t>
      </w:r>
    </w:p>
    <w:p w:rsidR="00143D06" w:rsidRPr="00143D06" w:rsidRDefault="00EF7850" w:rsidP="007C5F75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7C5F75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310ACF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Вагин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ского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C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Вагино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310A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Вагинского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310ACF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Вагинского</w:t>
            </w:r>
            <w:r w:rsidR="00310A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310AC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энергоресурсов администрацией  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31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="00FB2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расходов на энергоносители на </w:t>
            </w:r>
            <w:r w:rsidR="00FF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</w:t>
            </w:r>
            <w:r w:rsidR="00FF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шт.;</w:t>
            </w:r>
          </w:p>
          <w:p w:rsidR="00143D06" w:rsidRPr="00143D06" w:rsidRDefault="00143D06" w:rsidP="00FF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31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</w:t>
      </w:r>
      <w:r w:rsidR="0031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расходов бюджета</w:t>
      </w:r>
      <w:r w:rsidR="007F15D8" w:rsidRP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7F15D8" w:rsidRP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снижение расходов на энергоносители на </w:t>
      </w:r>
      <w:r w:rsidR="00FF3264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-количество замененных ламп освещения на светодиодные, энергосберегающие лампы, шт.</w:t>
      </w:r>
      <w:r w:rsidR="00FF3264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</w:t>
      </w:r>
      <w:r w:rsidR="00FF326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шт</w:t>
      </w:r>
      <w:proofErr w:type="gramStart"/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bookmarkStart w:id="0" w:name="_GoBack"/>
      <w:bookmarkEnd w:id="0"/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целей и решения задач Программы  необходимо реализовать ряд основных  мероприятий.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br/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Основное мероприятие 1</w:t>
      </w:r>
      <w:r w:rsidRPr="00143D06">
        <w:rPr>
          <w:rFonts w:ascii="Calibri" w:eastAsia="Times New Roman" w:hAnsi="Calibri" w:cs="Times New Roman"/>
          <w:b/>
          <w:lang w:bidi="en-US"/>
        </w:rPr>
        <w:t xml:space="preserve"> 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«Реконструкция освещения в здании администрации».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замена электроосвещения в здании администрации  на энергосберегающие осветительные приборы.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2  « 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нормативно правовых актов в области энергосбережения;</w:t>
      </w:r>
    </w:p>
    <w:p w:rsidR="0041262B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ремонтных работ отопления в объектах, находящихся в муниципальной собственности администрации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современных приборов учета электрической энергии, поверка, замена вышедших из строя приборов.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7F1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7F15D8"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Вагинского </w:t>
            </w:r>
            <w:r w:rsidR="0041262B"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3AB7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D73AB7" w:rsidRPr="00143D06" w:rsidRDefault="00D73AB7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FF3264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B7" w:rsidRPr="00143D06" w:rsidTr="0041262B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7F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D7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D73AB7" w:rsidP="00D7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D73AB7" w:rsidP="00D7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3AB7" w:rsidRPr="00143D06" w:rsidTr="0041262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B7" w:rsidRPr="00143D06" w:rsidTr="0041262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Pr="00143D06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ind w:left="9204"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="00343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Программе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7F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5D8"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Вагинского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Доээ=</w:t>
            </w:r>
            <w:proofErr w:type="spellEnd"/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C94B0F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C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C94B0F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C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343F20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="00DF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="00DF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расходам на </w:t>
            </w:r>
            <w:proofErr w:type="spellStart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Дээ=</w:t>
            </w:r>
            <w:proofErr w:type="spellEnd"/>
          </w:p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количесттво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электроэнергию</w:t>
            </w:r>
          </w:p>
          <w:p w:rsidR="00143D06" w:rsidRPr="00143D06" w:rsidRDefault="00886AC1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асходов на электроэнергию в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4173EC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4173EC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128F" w:rsidRPr="00143D06" w:rsidRDefault="00DF128F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О.А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62F51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128F" w:rsidRPr="00143D06" w:rsidRDefault="00DF128F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О.А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31EBC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128F" w:rsidRPr="00143D06" w:rsidRDefault="00DF128F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О.А.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7C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48"/>
        <w:gridCol w:w="4320"/>
      </w:tblGrid>
      <w:tr w:rsidR="00143D06" w:rsidRPr="00143D06" w:rsidTr="00EF78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Приложение 4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1"/>
        <w:gridCol w:w="1984"/>
        <w:gridCol w:w="2275"/>
        <w:gridCol w:w="3082"/>
        <w:gridCol w:w="885"/>
        <w:gridCol w:w="236"/>
        <w:gridCol w:w="649"/>
        <w:gridCol w:w="201"/>
        <w:gridCol w:w="702"/>
        <w:gridCol w:w="428"/>
        <w:gridCol w:w="1286"/>
        <w:gridCol w:w="50"/>
      </w:tblGrid>
      <w:tr w:rsidR="009E6BC6" w:rsidRPr="00143D06" w:rsidTr="009E6BC6">
        <w:trPr>
          <w:gridAfter w:val="1"/>
          <w:wAfter w:w="5" w:type="dxa"/>
          <w:trHeight w:val="15"/>
          <w:tblCellSpacing w:w="15" w:type="dxa"/>
        </w:trPr>
        <w:tc>
          <w:tcPr>
            <w:tcW w:w="2976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54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2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исполнители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непосредственный результат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подпрограммы </w:t>
            </w:r>
          </w:p>
        </w:tc>
        <w:tc>
          <w:tcPr>
            <w:tcW w:w="4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143D06" w:rsidRDefault="009E6BC6"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и источник финансового обеспечения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9E6BC6" w:rsidRPr="00143D06" w:rsidTr="009E6BC6">
        <w:trPr>
          <w:gridAfter w:val="1"/>
          <w:wAfter w:w="5" w:type="dxa"/>
          <w:trHeight w:val="1698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</w:p>
          <w:p w:rsidR="009E6BC6" w:rsidRPr="00143D06" w:rsidRDefault="009E6BC6" w:rsidP="00143D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Реконструкция освещения в здании администрации</w:t>
            </w: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».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C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объемов потребления энергетических ресурсов;</w:t>
            </w:r>
          </w:p>
          <w:p w:rsidR="009E6BC6" w:rsidRPr="00143D06" w:rsidRDefault="009E6BC6" w:rsidP="0014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замененных ламп освещения на светодиодные, энергосберегающие лампы, шт.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E6BC6" w:rsidRPr="00143D06" w:rsidTr="009E6BC6">
        <w:trPr>
          <w:gridAfter w:val="1"/>
          <w:wAfter w:w="5" w:type="dxa"/>
          <w:trHeight w:val="810"/>
          <w:tblCellSpacing w:w="15" w:type="dxa"/>
        </w:trPr>
        <w:tc>
          <w:tcPr>
            <w:tcW w:w="29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C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9E6BC6" w:rsidRPr="00143D06" w:rsidRDefault="009E6BC6" w:rsidP="00C94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на энергоносители на 10%;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AD3849"/>
    <w:rsid w:val="000C167C"/>
    <w:rsid w:val="00143D06"/>
    <w:rsid w:val="00162F51"/>
    <w:rsid w:val="001A4FFC"/>
    <w:rsid w:val="00310ACF"/>
    <w:rsid w:val="00343F20"/>
    <w:rsid w:val="00393AB3"/>
    <w:rsid w:val="0041262B"/>
    <w:rsid w:val="004173EC"/>
    <w:rsid w:val="004C406F"/>
    <w:rsid w:val="004D7F2F"/>
    <w:rsid w:val="00521FE8"/>
    <w:rsid w:val="00597455"/>
    <w:rsid w:val="007C39B3"/>
    <w:rsid w:val="007C5F75"/>
    <w:rsid w:val="007D1478"/>
    <w:rsid w:val="007F15D8"/>
    <w:rsid w:val="00886AC1"/>
    <w:rsid w:val="00923CC3"/>
    <w:rsid w:val="00931EBC"/>
    <w:rsid w:val="009E6BC6"/>
    <w:rsid w:val="00AA39A6"/>
    <w:rsid w:val="00AD3849"/>
    <w:rsid w:val="00B372B6"/>
    <w:rsid w:val="00C04DF0"/>
    <w:rsid w:val="00C94B0F"/>
    <w:rsid w:val="00D73AB7"/>
    <w:rsid w:val="00D85D39"/>
    <w:rsid w:val="00DF128F"/>
    <w:rsid w:val="00E12C04"/>
    <w:rsid w:val="00EF4E43"/>
    <w:rsid w:val="00EF7850"/>
    <w:rsid w:val="00F83F0E"/>
    <w:rsid w:val="00FB2FC7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10A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310A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E2E0-1FE9-4FB4-A856-F3E20036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РАБОЧИЙ_!</cp:lastModifiedBy>
  <cp:revision>21</cp:revision>
  <cp:lastPrinted>2022-04-01T09:19:00Z</cp:lastPrinted>
  <dcterms:created xsi:type="dcterms:W3CDTF">2022-03-10T02:25:00Z</dcterms:created>
  <dcterms:modified xsi:type="dcterms:W3CDTF">2022-04-01T09:27:00Z</dcterms:modified>
</cp:coreProperties>
</file>