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6" w:rsidRPr="00E961FB" w:rsidRDefault="009A1386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6B52D0" w:rsidRPr="00E961FB" w:rsidRDefault="003F348C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Критовский</w:t>
      </w:r>
      <w:proofErr w:type="spellEnd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сельский</w:t>
      </w:r>
      <w:r w:rsidR="006B52D0"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Совет депутатов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Боготольского района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Красноярского края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РЕШЕНИЕ</w:t>
      </w:r>
    </w:p>
    <w:p w:rsidR="00752BEA" w:rsidRPr="00E961FB" w:rsidRDefault="00752BEA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E961FB" w:rsidTr="000D505F">
        <w:tc>
          <w:tcPr>
            <w:tcW w:w="3190" w:type="dxa"/>
          </w:tcPr>
          <w:p w:rsidR="000D505F" w:rsidRPr="00E961FB" w:rsidRDefault="00575981" w:rsidP="000D505F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06.12.2021</w:t>
            </w:r>
          </w:p>
        </w:tc>
        <w:tc>
          <w:tcPr>
            <w:tcW w:w="3190" w:type="dxa"/>
          </w:tcPr>
          <w:p w:rsidR="000D505F" w:rsidRPr="00E961FB" w:rsidRDefault="003F348C" w:rsidP="00752BEA">
            <w:pPr>
              <w:pStyle w:val="a3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с. </w:t>
            </w:r>
            <w:proofErr w:type="spellStart"/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191" w:type="dxa"/>
          </w:tcPr>
          <w:p w:rsidR="000D505F" w:rsidRPr="00E961FB" w:rsidRDefault="003F348C" w:rsidP="003F348C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5759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№ </w:t>
            </w:r>
            <w:r w:rsidR="005759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18-85</w:t>
            </w:r>
          </w:p>
        </w:tc>
      </w:tr>
    </w:tbl>
    <w:p w:rsidR="000D505F" w:rsidRPr="00E961FB" w:rsidRDefault="000D505F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D505F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О ПЕРЕДАЧЕ ЧАСТИ ПОЛНОМОЧИЙ</w:t>
      </w:r>
    </w:p>
    <w:p w:rsidR="00752BEA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ПО РЕШЕНИЮ ВОПРОСОВ МЕСТНОГО ЗНАЧЕНИЯ</w:t>
      </w:r>
    </w:p>
    <w:p w:rsidR="00752BEA" w:rsidRPr="00E961FB" w:rsidRDefault="00752BEA" w:rsidP="006B52D0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В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Бюджетным кодексом Российской Федерации, </w:t>
      </w:r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Уставом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сельский</w:t>
      </w:r>
      <w:r w:rsidR="003B791E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Совет депутатов </w:t>
      </w: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РЕШИЛ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52BEA" w:rsidRPr="00E961FB" w:rsidRDefault="000D505F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передать администрации Боготольского района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E961FB">
        <w:rPr>
          <w:rFonts w:ascii="Arial" w:hAnsi="Arial" w:cs="Arial"/>
          <w:color w:val="000000" w:themeColor="text1"/>
          <w:sz w:val="24"/>
          <w:szCs w:val="24"/>
        </w:rPr>
        <w:t>приложению, заключить Соглашения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сроком действия с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0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1 января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2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 по 31 декабря 202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2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8E36BC" w:rsidRPr="00E961FB" w:rsidRDefault="003F348C" w:rsidP="003F348C">
      <w:pPr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сполнением Решения возложить на 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постоянную          комиссию по бюджету, финансам, налогам и сборам, правовым вопросам (председатель Борисова Б.Б.).</w:t>
      </w:r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3. Опубликовать настоящее Решение в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переодическом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печатном издании «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вестник»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F54A28"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6" w:history="1">
        <w:r w:rsidR="00F54A28" w:rsidRPr="00E961FB">
          <w:rPr>
            <w:rStyle w:val="a5"/>
            <w:rFonts w:ascii="Arial" w:hAnsi="Arial" w:cs="Arial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54A28" w:rsidRPr="00E961FB">
        <w:rPr>
          <w:rStyle w:val="a5"/>
          <w:rFonts w:ascii="Arial" w:hAnsi="Arial" w:cs="Arial"/>
          <w:color w:val="000000" w:themeColor="text1"/>
          <w:kern w:val="2"/>
          <w:sz w:val="24"/>
          <w:szCs w:val="24"/>
          <w:u w:val="none"/>
        </w:rPr>
        <w:t xml:space="preserve">) </w:t>
      </w:r>
      <w:r w:rsidR="008E36B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на странице </w:t>
      </w:r>
      <w:proofErr w:type="spellStart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Критовского</w:t>
      </w:r>
      <w:proofErr w:type="spellEnd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сельсовета</w:t>
      </w:r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proofErr w:type="spellStart"/>
      <w:proofErr w:type="gramStart"/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сельсовета</w:t>
      </w:r>
      <w:proofErr w:type="spellEnd"/>
      <w:proofErr w:type="gramEnd"/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5DBF" w:rsidRPr="00E961FB" w:rsidRDefault="005A5DBF" w:rsidP="005A5DBF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4. Решение вступает в силу в день</w:t>
      </w:r>
      <w:r w:rsidRPr="00E961FB">
        <w:rPr>
          <w:rFonts w:ascii="Arial" w:hAnsi="Arial" w:cs="Arial"/>
          <w:sz w:val="24"/>
          <w:szCs w:val="24"/>
        </w:rPr>
        <w:t>, следующий за днем его официального опубликования.</w:t>
      </w:r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2BEA" w:rsidRPr="00E961FB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70D0C" w:rsidRPr="00E961FB" w:rsidRDefault="00670D0C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804"/>
      </w:tblGrid>
      <w:tr w:rsidR="006650EA" w:rsidRPr="00E961FB" w:rsidTr="00B3660C">
        <w:tc>
          <w:tcPr>
            <w:tcW w:w="4997" w:type="dxa"/>
          </w:tcPr>
          <w:p w:rsidR="00670D0C" w:rsidRPr="00E961FB" w:rsidRDefault="00575981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редседателя</w:t>
            </w:r>
            <w:proofErr w:type="spellEnd"/>
            <w:r w:rsidR="00752B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50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</w:p>
          <w:p w:rsidR="00752BEA" w:rsidRPr="00E961FB" w:rsidRDefault="006650EA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сельского </w:t>
            </w:r>
            <w:r w:rsidR="00752B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Совета депутатов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8E36BC" w:rsidP="00670D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</w:t>
            </w:r>
            <w:r w:rsidR="00575981">
              <w:rPr>
                <w:rFonts w:ascii="Arial" w:hAnsi="Arial" w:cs="Arial"/>
                <w:color w:val="000000" w:themeColor="text1"/>
                <w:sz w:val="24"/>
                <w:szCs w:val="24"/>
              </w:rPr>
              <w:t>/О.В. Борисова</w:t>
            </w:r>
          </w:p>
        </w:tc>
        <w:tc>
          <w:tcPr>
            <w:tcW w:w="4998" w:type="dxa"/>
          </w:tcPr>
          <w:p w:rsidR="008E36BC" w:rsidRPr="00E961FB" w:rsidRDefault="00670D0C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</w:t>
            </w: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  <w:r w:rsidR="008E36BC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сельсовета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/А.В. </w:t>
            </w: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Воловников</w:t>
            </w:r>
            <w:proofErr w:type="spellEnd"/>
          </w:p>
        </w:tc>
      </w:tr>
    </w:tbl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E36BC" w:rsidRPr="00E961FB" w:rsidRDefault="008E36BC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0F2B36" w:rsidRPr="00E961FB" w:rsidRDefault="000F2B36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21EAD" w:rsidRPr="00E961FB" w:rsidRDefault="00821EAD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DB6339" w:rsidRPr="00E961FB" w:rsidRDefault="00DB6339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7F60" w:rsidRPr="00E961FB" w:rsidRDefault="00347F60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Решению </w:t>
      </w:r>
      <w:proofErr w:type="spellStart"/>
      <w:r w:rsidR="005759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Критовского</w:t>
      </w:r>
      <w:proofErr w:type="spellEnd"/>
    </w:p>
    <w:p w:rsidR="00752BEA" w:rsidRPr="00E961FB" w:rsidRDefault="00575981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759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«06»декабря</w:t>
      </w:r>
      <w:r w:rsidR="003C369D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70D0C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2021 </w:t>
      </w:r>
      <w:r w:rsidR="006B52D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759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18-85</w:t>
      </w:r>
      <w:bookmarkStart w:id="0" w:name="_GoBack"/>
      <w:bookmarkEnd w:id="0"/>
    </w:p>
    <w:p w:rsidR="00752BEA" w:rsidRPr="00E961FB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D2848" w:rsidRPr="00E961FB" w:rsidRDefault="005D2848" w:rsidP="003B791E">
      <w:pPr>
        <w:spacing w:after="1" w:line="280" w:lineRule="atLeast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ПЕРЕЧЕНЬ</w:t>
      </w:r>
    </w:p>
    <w:p w:rsidR="006B52D0" w:rsidRPr="00E961FB" w:rsidRDefault="005D2848" w:rsidP="003B791E">
      <w:pPr>
        <w:spacing w:after="1" w:line="280" w:lineRule="atLeast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ПОЛНОМОЧИЙ ПО РЕШЕНИЮ ВОПРОСОВ МЕСТНОГО ЗНАЧЕНИЯ</w:t>
      </w:r>
    </w:p>
    <w:p w:rsidR="006B52D0" w:rsidRPr="00E961FB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его исполнением, составление и утверждение отчета об исполнении бюджета поселения: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о-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деятельностью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осуществление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теплосетевых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теплосетевых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</w:t>
      </w:r>
      <w:proofErr w:type="spell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ресурсоснабжающих</w:t>
      </w:r>
      <w:proofErr w:type="spell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о-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5D2848" w:rsidRPr="00E961FB" w:rsidRDefault="005D2848" w:rsidP="005D284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3.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E961FB">
          <w:rPr>
            <w:rFonts w:ascii="Arial" w:hAnsi="Arial" w:cs="Arial"/>
            <w:color w:val="000000" w:themeColor="text1"/>
            <w:kern w:val="2"/>
            <w:sz w:val="24"/>
            <w:szCs w:val="24"/>
          </w:rPr>
          <w:t>законодательством</w:t>
        </w:r>
        <w:proofErr w:type="gramEnd"/>
      </w:hyperlink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Российской Федерации: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- осуществление муниципального </w:t>
      </w:r>
      <w:proofErr w:type="gramStart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контроля за</w:t>
      </w:r>
      <w:proofErr w:type="gramEnd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контроля за</w:t>
      </w:r>
      <w:proofErr w:type="gramEnd"/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5D2848" w:rsidRPr="00E961FB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E961FB">
        <w:rPr>
          <w:rFonts w:ascii="Arial" w:eastAsiaTheme="minorHAnsi" w:hAnsi="Arial" w:cs="Arial"/>
          <w:color w:val="000000" w:themeColor="text1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5D2848" w:rsidRPr="00E961FB" w:rsidRDefault="005D2848" w:rsidP="005D2848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961FB">
          <w:rPr>
            <w:rFonts w:ascii="Arial" w:hAnsi="Arial" w:cs="Arial"/>
            <w:color w:val="000000" w:themeColor="text1"/>
            <w:kern w:val="2"/>
            <w:sz w:val="24"/>
            <w:szCs w:val="24"/>
          </w:rPr>
          <w:t>законодательством</w:t>
        </w:r>
      </w:hyperlink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: </w:t>
      </w:r>
    </w:p>
    <w:p w:rsidR="005D2848" w:rsidRPr="00E961FB" w:rsidRDefault="005D2848" w:rsidP="005D2848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4.1. Признание граждан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малоимущими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малоимущими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либо в отказе в этом.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согласно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из</w:t>
      </w:r>
      <w:proofErr w:type="gramEnd"/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: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5D2848" w:rsidRPr="00E961FB" w:rsidRDefault="005D2848" w:rsidP="005D2848">
      <w:pPr>
        <w:pStyle w:val="a3"/>
        <w:ind w:firstLine="720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- предоставления и доставки гроба и других предметов, необходимых для погребения; </w:t>
      </w:r>
    </w:p>
    <w:p w:rsidR="005D2848" w:rsidRPr="00E961FB" w:rsidRDefault="005D2848" w:rsidP="005D2848">
      <w:pPr>
        <w:pStyle w:val="a6"/>
        <w:spacing w:after="0" w:line="240" w:lineRule="auto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- перевозки тела (останков) умершего на кладбище (в крематорий);</w:t>
      </w:r>
    </w:p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sectPr w:rsidR="005D2848" w:rsidRPr="00E9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D505F"/>
    <w:rsid w:val="000F2B36"/>
    <w:rsid w:val="00111814"/>
    <w:rsid w:val="00157650"/>
    <w:rsid w:val="00234F26"/>
    <w:rsid w:val="002817B2"/>
    <w:rsid w:val="00347F60"/>
    <w:rsid w:val="0036540D"/>
    <w:rsid w:val="00372A32"/>
    <w:rsid w:val="003B791E"/>
    <w:rsid w:val="003C369D"/>
    <w:rsid w:val="003D5D62"/>
    <w:rsid w:val="003F348C"/>
    <w:rsid w:val="0041093D"/>
    <w:rsid w:val="004A6423"/>
    <w:rsid w:val="00575981"/>
    <w:rsid w:val="00577127"/>
    <w:rsid w:val="005A5DBF"/>
    <w:rsid w:val="005D2848"/>
    <w:rsid w:val="006650EA"/>
    <w:rsid w:val="00670D0C"/>
    <w:rsid w:val="006B52D0"/>
    <w:rsid w:val="007029A2"/>
    <w:rsid w:val="00752BEA"/>
    <w:rsid w:val="00821EAD"/>
    <w:rsid w:val="0089647F"/>
    <w:rsid w:val="008E36BC"/>
    <w:rsid w:val="0094656F"/>
    <w:rsid w:val="00976DA2"/>
    <w:rsid w:val="009A1386"/>
    <w:rsid w:val="00AD7787"/>
    <w:rsid w:val="00AE0931"/>
    <w:rsid w:val="00B92BF7"/>
    <w:rsid w:val="00C32842"/>
    <w:rsid w:val="00D23D89"/>
    <w:rsid w:val="00D42DA0"/>
    <w:rsid w:val="00DB6339"/>
    <w:rsid w:val="00DD73F7"/>
    <w:rsid w:val="00E04DF8"/>
    <w:rsid w:val="00E647FA"/>
    <w:rsid w:val="00E961FB"/>
    <w:rsid w:val="00ED7871"/>
    <w:rsid w:val="00EF7EDF"/>
    <w:rsid w:val="00F316F8"/>
    <w:rsid w:val="00F37D6D"/>
    <w:rsid w:val="00F54A28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Admin</cp:lastModifiedBy>
  <cp:revision>13</cp:revision>
  <cp:lastPrinted>2019-11-27T03:42:00Z</cp:lastPrinted>
  <dcterms:created xsi:type="dcterms:W3CDTF">2021-11-09T02:31:00Z</dcterms:created>
  <dcterms:modified xsi:type="dcterms:W3CDTF">2021-12-03T02:25:00Z</dcterms:modified>
</cp:coreProperties>
</file>