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9F7089" w:rsidRPr="009F7089" w:rsidRDefault="009F7089" w:rsidP="00900F75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 xml:space="preserve">                                                                РЕШЕНИЕ</w:t>
      </w:r>
      <w:r w:rsidR="006F622F">
        <w:rPr>
          <w:rFonts w:ascii="Times New Roman" w:hAnsi="Times New Roman"/>
          <w:sz w:val="24"/>
          <w:szCs w:val="24"/>
        </w:rPr>
        <w:t xml:space="preserve"> </w:t>
      </w: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9F7089" w:rsidRPr="009F7089" w:rsidTr="00536483">
        <w:tc>
          <w:tcPr>
            <w:tcW w:w="3284" w:type="dxa"/>
            <w:hideMark/>
          </w:tcPr>
          <w:p w:rsidR="009F7089" w:rsidRPr="009F7089" w:rsidRDefault="009F7089" w:rsidP="00900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E3AF7">
              <w:rPr>
                <w:rFonts w:ascii="Times New Roman" w:hAnsi="Times New Roman"/>
                <w:sz w:val="24"/>
                <w:szCs w:val="24"/>
              </w:rPr>
              <w:t xml:space="preserve">22 декабря </w:t>
            </w:r>
            <w:r w:rsidRPr="009F7089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628" w:type="dxa"/>
            <w:hideMark/>
          </w:tcPr>
          <w:p w:rsidR="009F7089" w:rsidRPr="009F7089" w:rsidRDefault="009F7089" w:rsidP="00900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    пос. Чайковский</w:t>
            </w:r>
          </w:p>
        </w:tc>
        <w:tc>
          <w:tcPr>
            <w:tcW w:w="2552" w:type="dxa"/>
            <w:hideMark/>
          </w:tcPr>
          <w:p w:rsidR="009F7089" w:rsidRPr="009F7089" w:rsidRDefault="009F7089" w:rsidP="0090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                     № </w:t>
            </w:r>
            <w:r w:rsidR="001E3AF7">
              <w:rPr>
                <w:rFonts w:ascii="Times New Roman" w:hAnsi="Times New Roman"/>
                <w:sz w:val="24"/>
                <w:szCs w:val="24"/>
              </w:rPr>
              <w:t>3-16</w:t>
            </w:r>
          </w:p>
        </w:tc>
      </w:tr>
    </w:tbl>
    <w:p w:rsidR="003E01BE" w:rsidRPr="00091F33" w:rsidRDefault="003E01BE" w:rsidP="00900F75">
      <w:pPr>
        <w:pStyle w:val="a3"/>
        <w:rPr>
          <w:rFonts w:ascii="Times New Roman" w:hAnsi="Times New Roman"/>
          <w:b/>
          <w:sz w:val="24"/>
          <w:szCs w:val="24"/>
        </w:rPr>
      </w:pPr>
      <w:r w:rsidRPr="00091F3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3E01BE" w:rsidRPr="00DC158D" w:rsidRDefault="003E01BE" w:rsidP="00900F75">
      <w:pPr>
        <w:pStyle w:val="a3"/>
        <w:rPr>
          <w:rFonts w:ascii="Times New Roman" w:hAnsi="Times New Roman"/>
          <w:sz w:val="24"/>
          <w:szCs w:val="24"/>
        </w:rPr>
      </w:pPr>
    </w:p>
    <w:p w:rsidR="00DC158D" w:rsidRDefault="00DC158D" w:rsidP="00900F7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C158D">
        <w:rPr>
          <w:rFonts w:ascii="Times New Roman" w:hAnsi="Times New Roman"/>
          <w:sz w:val="24"/>
          <w:szCs w:val="24"/>
        </w:rPr>
        <w:t>Об утверждении</w:t>
      </w:r>
      <w:r>
        <w:rPr>
          <w:rFonts w:ascii="Times New Roman" w:hAnsi="Times New Roman"/>
          <w:sz w:val="24"/>
          <w:szCs w:val="24"/>
        </w:rPr>
        <w:t xml:space="preserve"> Положения о порядке и случаях посещения субъектами</w:t>
      </w:r>
    </w:p>
    <w:p w:rsidR="003E01BE" w:rsidRPr="00DC158D" w:rsidRDefault="00DC158D" w:rsidP="00900F7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общественного контроля органов местного самоуправления, муниципальных  организаций, иных органов и организаций и организаций, осуществляющих в соответствии с федеральными законами отдельные публичные полномочи</w:t>
      </w:r>
      <w:r w:rsidR="002E4B9A">
        <w:rPr>
          <w:rFonts w:ascii="Times New Roman" w:hAnsi="Times New Roman"/>
          <w:sz w:val="24"/>
          <w:szCs w:val="24"/>
        </w:rPr>
        <w:t>я</w:t>
      </w:r>
    </w:p>
    <w:p w:rsidR="003E01BE" w:rsidRPr="009F7089" w:rsidRDefault="003E01BE" w:rsidP="00900F7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E01BE" w:rsidRPr="009F7089" w:rsidRDefault="003E01BE" w:rsidP="0055377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ab/>
        <w:t>В</w:t>
      </w:r>
      <w:r w:rsidR="00DC158D">
        <w:rPr>
          <w:rFonts w:ascii="Times New Roman" w:hAnsi="Times New Roman"/>
          <w:sz w:val="24"/>
          <w:szCs w:val="24"/>
        </w:rPr>
        <w:t xml:space="preserve"> соответствии с Федеральным законом</w:t>
      </w:r>
      <w:r w:rsidR="00DC158D" w:rsidRPr="00DC158D">
        <w:rPr>
          <w:rFonts w:ascii="Times New Roman" w:hAnsi="Times New Roman"/>
          <w:sz w:val="24"/>
          <w:szCs w:val="24"/>
        </w:rPr>
        <w:t xml:space="preserve"> </w:t>
      </w:r>
      <w:r w:rsidR="00DC158D" w:rsidRPr="009F7089">
        <w:rPr>
          <w:rFonts w:ascii="Times New Roman" w:hAnsi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Федерации»,</w:t>
      </w:r>
      <w:r w:rsidR="00DC158D">
        <w:rPr>
          <w:rFonts w:ascii="Times New Roman" w:hAnsi="Times New Roman"/>
          <w:sz w:val="24"/>
          <w:szCs w:val="24"/>
        </w:rPr>
        <w:t xml:space="preserve"> статьёй 10 Федерального закона от 21.07.2014 № 212-ФЗ </w:t>
      </w:r>
      <w:r w:rsidR="00553773">
        <w:rPr>
          <w:rFonts w:ascii="Times New Roman" w:hAnsi="Times New Roman"/>
          <w:sz w:val="24"/>
          <w:szCs w:val="24"/>
        </w:rPr>
        <w:t xml:space="preserve"> «Об основах общественного контроля в Российской Федерации», руководствуясь Уставом Чайковского сельсовета</w:t>
      </w:r>
      <w:r w:rsidRPr="009F7089">
        <w:rPr>
          <w:rFonts w:ascii="Times New Roman" w:hAnsi="Times New Roman"/>
          <w:sz w:val="24"/>
          <w:szCs w:val="24"/>
        </w:rPr>
        <w:t xml:space="preserve"> </w:t>
      </w:r>
      <w:r w:rsidR="00512D87">
        <w:rPr>
          <w:rFonts w:ascii="Times New Roman" w:hAnsi="Times New Roman"/>
          <w:sz w:val="24"/>
          <w:szCs w:val="24"/>
        </w:rPr>
        <w:t>сельский</w:t>
      </w:r>
      <w:r w:rsidR="00FE26BD">
        <w:rPr>
          <w:rFonts w:ascii="Times New Roman" w:hAnsi="Times New Roman"/>
          <w:sz w:val="24"/>
          <w:szCs w:val="24"/>
        </w:rPr>
        <w:t xml:space="preserve"> </w:t>
      </w:r>
      <w:r w:rsidRPr="009F7089">
        <w:rPr>
          <w:rFonts w:ascii="Times New Roman" w:hAnsi="Times New Roman"/>
          <w:sz w:val="24"/>
          <w:szCs w:val="24"/>
        </w:rPr>
        <w:t>Совет депутатов РЕШИЛ:</w:t>
      </w:r>
    </w:p>
    <w:p w:rsidR="003E01BE" w:rsidRPr="009F7089" w:rsidRDefault="003E01BE" w:rsidP="00900F7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3773" w:rsidRDefault="00553773" w:rsidP="00900F75">
      <w:pPr>
        <w:pStyle w:val="a6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Положение о порядке и случаях посещения субъектами общественного контроля органов местного самоуправления, муниципальных организаций, иных органов и организаций, осуществляющих в соответствии с </w:t>
      </w:r>
      <w:r w:rsidR="002E4B9A">
        <w:rPr>
          <w:rFonts w:ascii="Times New Roman" w:hAnsi="Times New Roman"/>
          <w:sz w:val="24"/>
          <w:szCs w:val="24"/>
        </w:rPr>
        <w:t>федеральными законами отдельные публичные полномочия согласно приложению.</w:t>
      </w:r>
    </w:p>
    <w:p w:rsidR="002E4B9A" w:rsidRDefault="002E4B9A" w:rsidP="00900F75">
      <w:pPr>
        <w:pStyle w:val="a6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депутат</w:t>
      </w:r>
      <w:proofErr w:type="gramEnd"/>
      <w:r>
        <w:rPr>
          <w:rFonts w:ascii="Times New Roman" w:hAnsi="Times New Roman"/>
          <w:sz w:val="24"/>
          <w:szCs w:val="24"/>
        </w:rPr>
        <w:t xml:space="preserve"> Чайковского сельского Совета депутатов Перияйнен Н. Р.</w:t>
      </w:r>
    </w:p>
    <w:p w:rsidR="009F7089" w:rsidRPr="009F7089" w:rsidRDefault="009F7089" w:rsidP="00900F75">
      <w:pPr>
        <w:pStyle w:val="a6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>Решение опубликовать в газете «Земля боготольская» и разместить на официальном сайте Боготольского района в сети «Интернет».</w:t>
      </w:r>
    </w:p>
    <w:p w:rsidR="009F7089" w:rsidRPr="009F7089" w:rsidRDefault="009F7089" w:rsidP="00900F75">
      <w:pPr>
        <w:pStyle w:val="a6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>Решение вступает в законную силу в день, следующий за днем официального опубликования</w:t>
      </w:r>
      <w:r w:rsidR="00512D87">
        <w:rPr>
          <w:rFonts w:ascii="Times New Roman" w:hAnsi="Times New Roman"/>
          <w:sz w:val="24"/>
          <w:szCs w:val="24"/>
        </w:rPr>
        <w:t>.</w:t>
      </w:r>
    </w:p>
    <w:p w:rsidR="003E01BE" w:rsidRPr="009F7089" w:rsidRDefault="003E01BE" w:rsidP="00900F7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F7089" w:rsidRDefault="009F7089" w:rsidP="00900F7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00F75" w:rsidRPr="009F7089" w:rsidRDefault="00900F75" w:rsidP="00900F7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F7089" w:rsidRPr="009F7089" w:rsidRDefault="009F7089" w:rsidP="00900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 xml:space="preserve">Глава Чайковского сельсовета, </w:t>
      </w:r>
    </w:p>
    <w:p w:rsid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9F7089">
        <w:rPr>
          <w:rFonts w:ascii="Times New Roman" w:hAnsi="Times New Roman"/>
          <w:sz w:val="24"/>
          <w:szCs w:val="24"/>
        </w:rPr>
        <w:tab/>
        <w:t xml:space="preserve">                                               В. С. Синяков</w:t>
      </w: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3AF7" w:rsidRDefault="001E3AF7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2E4B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E4B9A" w:rsidRDefault="002E4B9A" w:rsidP="002E4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к Решению Чайковского</w:t>
      </w:r>
    </w:p>
    <w:p w:rsidR="002E4B9A" w:rsidRDefault="002E4B9A" w:rsidP="002E4B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Совета депутатов</w:t>
      </w:r>
    </w:p>
    <w:p w:rsidR="002E4B9A" w:rsidRDefault="002E4B9A" w:rsidP="002E4B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2015 № -</w:t>
      </w:r>
    </w:p>
    <w:p w:rsidR="002E4B9A" w:rsidRDefault="002E4B9A" w:rsidP="002E4B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B9A" w:rsidRDefault="002E4B9A" w:rsidP="002E4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2E4B9A" w:rsidRDefault="002E4B9A" w:rsidP="002E4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порядке и случаях посещения субъектами общественного контроля органов</w:t>
      </w:r>
    </w:p>
    <w:p w:rsidR="002E4B9A" w:rsidRDefault="002E4B9A" w:rsidP="002E4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местного самоуправления, муниципальных организаций, иных органов и</w:t>
      </w:r>
    </w:p>
    <w:p w:rsidR="002E4B9A" w:rsidRDefault="002E4B9A" w:rsidP="002E4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организаций, осуществляющих в соответствии с  федеральными законами</w:t>
      </w:r>
    </w:p>
    <w:p w:rsidR="002E4B9A" w:rsidRDefault="002E4B9A" w:rsidP="002E4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отдельные публичные полномочия</w:t>
      </w:r>
    </w:p>
    <w:p w:rsidR="002E4B9A" w:rsidRDefault="002E4B9A" w:rsidP="002E4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B9A" w:rsidRDefault="002E4B9A" w:rsidP="002E4B9A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ПОЛОЖЕНИЯ</w:t>
      </w:r>
    </w:p>
    <w:p w:rsidR="000C5FD7" w:rsidRDefault="002E4B9A" w:rsidP="000C5FD7">
      <w:pPr>
        <w:pStyle w:val="a6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FD7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Федеральными  законами от 21.07.2014 № 212-ФЗ «Об основах общественного контроля в Российской Федерации», от 06.10.2003 № 131-ФЗ «Об общих принципах организации местного самоуправления в Российской Федерации» и определяет случаи и порядок посещения органов местного самоуправления, муниципальных организаций, иных органов и организаций, осуществляющих в соответствии с  федеральными законами</w:t>
      </w:r>
      <w:r w:rsidR="000C5FD7" w:rsidRPr="000C5FD7">
        <w:rPr>
          <w:rFonts w:ascii="Times New Roman" w:hAnsi="Times New Roman"/>
          <w:sz w:val="24"/>
          <w:szCs w:val="24"/>
        </w:rPr>
        <w:t xml:space="preserve"> </w:t>
      </w:r>
      <w:r w:rsidRPr="000C5FD7">
        <w:rPr>
          <w:rFonts w:ascii="Times New Roman" w:hAnsi="Times New Roman"/>
          <w:sz w:val="24"/>
          <w:szCs w:val="24"/>
        </w:rPr>
        <w:t>отдельные публичные полномочия</w:t>
      </w:r>
      <w:r w:rsidR="000C5FD7">
        <w:rPr>
          <w:rFonts w:ascii="Times New Roman" w:hAnsi="Times New Roman"/>
          <w:sz w:val="24"/>
          <w:szCs w:val="24"/>
        </w:rPr>
        <w:t xml:space="preserve"> (далее также – органы и организации).</w:t>
      </w:r>
      <w:proofErr w:type="gramEnd"/>
    </w:p>
    <w:p w:rsidR="000C5FD7" w:rsidRDefault="000C5FD7" w:rsidP="000C5FD7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Субъектами общественного контроля являются:</w:t>
      </w:r>
    </w:p>
    <w:p w:rsidR="000C5FD7" w:rsidRDefault="000C5FD7" w:rsidP="000C5F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общественная  палата Российской Федерации;</w:t>
      </w:r>
    </w:p>
    <w:p w:rsidR="000C5FD7" w:rsidRDefault="000C5FD7" w:rsidP="000C5FD7">
      <w:pPr>
        <w:pStyle w:val="a6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общественная палата Красноярского края (Гражданская ассамблея Красноярского каря);</w:t>
      </w:r>
    </w:p>
    <w:p w:rsidR="000C5FD7" w:rsidRDefault="000C5FD7" w:rsidP="000C5F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общественная палата (совета) муниципальных образований;</w:t>
      </w:r>
    </w:p>
    <w:p w:rsidR="002E4B9A" w:rsidRDefault="000C5FD7" w:rsidP="00DF7B23">
      <w:pPr>
        <w:pStyle w:val="a6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общественные</w:t>
      </w:r>
      <w:r w:rsidR="002E4B9A" w:rsidRPr="000C5F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советы при федеральных органах исполнительной власти, общественные советы при законодательных (представительных) и исполнительных органах государственной власти Красноярского края.</w:t>
      </w:r>
    </w:p>
    <w:p w:rsidR="000C5FD7" w:rsidRDefault="000C5FD7" w:rsidP="00DF7B23">
      <w:pPr>
        <w:pStyle w:val="a6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осуществления общественного контроля в случаях и порядке, которые предусмотрены законодательством Российской Федерации, могут создаваться:</w:t>
      </w:r>
    </w:p>
    <w:p w:rsidR="000C5FD7" w:rsidRDefault="000C5FD7" w:rsidP="000C5FD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общественные наблюдательные комиссии;</w:t>
      </w:r>
    </w:p>
    <w:p w:rsidR="000C5FD7" w:rsidRDefault="000C5FD7" w:rsidP="000C5FD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общественные инспекции;</w:t>
      </w:r>
    </w:p>
    <w:p w:rsidR="000C5FD7" w:rsidRDefault="000C5FD7" w:rsidP="000C5FD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 общественного контроля;</w:t>
      </w:r>
    </w:p>
    <w:p w:rsidR="000C5FD7" w:rsidRDefault="000C5FD7" w:rsidP="000C5FD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организационные с</w:t>
      </w:r>
      <w:r w:rsidR="00DF7B23">
        <w:rPr>
          <w:rFonts w:ascii="Times New Roman" w:hAnsi="Times New Roman"/>
          <w:sz w:val="24"/>
          <w:szCs w:val="24"/>
        </w:rPr>
        <w:t>труктуры общественного контроля.</w:t>
      </w:r>
    </w:p>
    <w:p w:rsidR="000C5FD7" w:rsidRPr="000C5FD7" w:rsidRDefault="000C5FD7" w:rsidP="00DF7B23">
      <w:pPr>
        <w:pStyle w:val="a6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Граждане участвуют в осуществлении общественного контроля в качестве общественных инспекторов и общественных экспертов в порядке, установленном Федеральным законом от 21.07.2014 № 2012 «</w:t>
      </w:r>
      <w:r w:rsidRPr="000C5FD7">
        <w:rPr>
          <w:rFonts w:ascii="Times New Roman" w:hAnsi="Times New Roman"/>
          <w:sz w:val="24"/>
          <w:szCs w:val="24"/>
        </w:rPr>
        <w:t>Об основах общественного контроля в Российской Федерации</w:t>
      </w:r>
      <w:r>
        <w:rPr>
          <w:rFonts w:ascii="Times New Roman" w:hAnsi="Times New Roman"/>
          <w:sz w:val="24"/>
          <w:szCs w:val="24"/>
        </w:rPr>
        <w:t>» и другими федеральными законами.</w:t>
      </w:r>
    </w:p>
    <w:p w:rsidR="000C5FD7" w:rsidRDefault="000C5FD7" w:rsidP="000C5FD7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СЛУЧАИ ПОСЕЩЕНИЯ СУБЪЕКТАМИ ОБЩЕСТВЕННОГО КОНТРОЛЯ ОРГАНОВ МЕСТНОГО САМОУПРАВЛЕНИЯ</w:t>
      </w:r>
      <w:r w:rsidR="00312935">
        <w:rPr>
          <w:rFonts w:ascii="Times New Roman" w:hAnsi="Times New Roman"/>
          <w:sz w:val="24"/>
          <w:szCs w:val="24"/>
        </w:rPr>
        <w:t>, МУНИЦИПАЛЬНЫЕ ОРГАНИЗАЦИИ, ИНЫЕ ОРГАНЫ И ОРГАНИЗАЦИИ,</w:t>
      </w:r>
      <w:r w:rsidR="00DF7B23">
        <w:rPr>
          <w:rFonts w:ascii="Times New Roman" w:hAnsi="Times New Roman"/>
          <w:sz w:val="24"/>
          <w:szCs w:val="24"/>
        </w:rPr>
        <w:t xml:space="preserve"> ОСУЩЕСТВЛЕНИЕ В СООТВЕТСТВИИ С ФЕДЕРАЛЬНЫМИ ЗАКОНАМИ ОТДЕЛЬНЫЕ ПУБЛИЧНЫЕ ПОЛНОМОЧИЯ</w:t>
      </w:r>
    </w:p>
    <w:p w:rsidR="00DF7B23" w:rsidRDefault="00DF7B23" w:rsidP="00C77FDB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общественного контроля вправе посещать соответствующие органы местного самоуправления, муниципальные организации, иные органы и организации, осуществляющие в соответствии с федеральными законами отдельные публичные полномочия, в случаях:</w:t>
      </w:r>
    </w:p>
    <w:p w:rsidR="00DF7B23" w:rsidRDefault="00C77FDB" w:rsidP="00C77FDB">
      <w:pPr>
        <w:pStyle w:val="a6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F7B23">
        <w:rPr>
          <w:rFonts w:ascii="Times New Roman" w:hAnsi="Times New Roman"/>
          <w:sz w:val="24"/>
          <w:szCs w:val="24"/>
        </w:rPr>
        <w:t>оступления субъекту общественного контроля заявления физических или юридических лиц, указывающих на факты нарушения органами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DF7B23" w:rsidRDefault="00C77FDB" w:rsidP="00C77FDB">
      <w:pPr>
        <w:pStyle w:val="a6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="00DF7B23">
        <w:rPr>
          <w:rFonts w:ascii="Times New Roman" w:hAnsi="Times New Roman"/>
          <w:sz w:val="24"/>
          <w:szCs w:val="24"/>
        </w:rPr>
        <w:t>ообщения в общероссийских средствах массовой информации сведений, указывающих на нарушение органами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DF7B23" w:rsidRDefault="00C77FDB" w:rsidP="00DF7B2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F7B23">
        <w:rPr>
          <w:rFonts w:ascii="Times New Roman" w:hAnsi="Times New Roman"/>
          <w:sz w:val="24"/>
          <w:szCs w:val="24"/>
        </w:rPr>
        <w:t>роведени</w:t>
      </w:r>
      <w:r>
        <w:rPr>
          <w:rFonts w:ascii="Times New Roman" w:hAnsi="Times New Roman"/>
          <w:sz w:val="24"/>
          <w:szCs w:val="24"/>
        </w:rPr>
        <w:t>я</w:t>
      </w:r>
      <w:r w:rsidR="00DF7B23">
        <w:rPr>
          <w:rFonts w:ascii="Times New Roman" w:hAnsi="Times New Roman"/>
          <w:sz w:val="24"/>
          <w:szCs w:val="24"/>
        </w:rPr>
        <w:t xml:space="preserve"> общественного мониторинга</w:t>
      </w:r>
      <w:r>
        <w:rPr>
          <w:rFonts w:ascii="Times New Roman" w:hAnsi="Times New Roman"/>
          <w:sz w:val="24"/>
          <w:szCs w:val="24"/>
        </w:rPr>
        <w:t>;</w:t>
      </w:r>
    </w:p>
    <w:p w:rsidR="00C77FDB" w:rsidRDefault="00C77FDB" w:rsidP="00DF7B2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общественной проверки;</w:t>
      </w:r>
    </w:p>
    <w:p w:rsidR="00C77FDB" w:rsidRDefault="00C77FDB" w:rsidP="00DF7B2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общественной экспертизы;</w:t>
      </w:r>
    </w:p>
    <w:p w:rsidR="00C77FDB" w:rsidRDefault="00C77FDB" w:rsidP="00DF7B2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 общественного обсуждения;</w:t>
      </w:r>
    </w:p>
    <w:p w:rsidR="00C77FDB" w:rsidRDefault="00C77FDB" w:rsidP="00DF7B2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общественных (публичных) слушаний;</w:t>
      </w:r>
    </w:p>
    <w:p w:rsidR="00C77FDB" w:rsidRDefault="00C77FDB" w:rsidP="00DF7B2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общественного контроля в иных формах взаимодействия, предусмотренных федеральными законами.</w:t>
      </w:r>
    </w:p>
    <w:p w:rsidR="00C77FDB" w:rsidRDefault="00C77FDB" w:rsidP="00C77FDB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ПОСЕЩЕНИЯ СУБЪЕКТАМИ ОБЩЕСТВЕННОГО КОНТРОЛЯ МЕСТНОГО САМОУПРАВЛЕНИЯ, МУНИЦИПАЛЬНЫЕ ОРГАНИЗАЦИИ, ИНЫЕ ОРГАНЫ</w:t>
      </w:r>
      <w:r w:rsidRPr="00C77F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ОРГАНИЗАЦИИ, ОСУЩЕСТВЛЕНИЕ В СООТВЕТСТВИИ С ФЕДЕРАЛЬНЫМИ ЗАКОНАМИ ОТДЕЛЬНЫЕ ПУБЛИЧНЫЕ ПОЛНОМОЧИЯ</w:t>
      </w:r>
    </w:p>
    <w:p w:rsidR="00986CAF" w:rsidRDefault="00C77FDB" w:rsidP="00AF011C">
      <w:pPr>
        <w:pStyle w:val="a6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посещения, в случаях, определённых разделом 2 настоящего Положения, субъекты общественного контроля письменно</w:t>
      </w:r>
      <w:r w:rsidR="00986CAF">
        <w:rPr>
          <w:rFonts w:ascii="Times New Roman" w:hAnsi="Times New Roman"/>
          <w:sz w:val="24"/>
          <w:szCs w:val="24"/>
        </w:rPr>
        <w:t xml:space="preserve"> уведомляют  органы местного самоуправления, муниципальные организации, иные органы</w:t>
      </w:r>
      <w:r w:rsidR="00986CAF" w:rsidRPr="00986CAF">
        <w:rPr>
          <w:rFonts w:ascii="Times New Roman" w:hAnsi="Times New Roman"/>
          <w:sz w:val="24"/>
          <w:szCs w:val="24"/>
        </w:rPr>
        <w:t xml:space="preserve"> </w:t>
      </w:r>
      <w:r w:rsidR="00986CAF" w:rsidRPr="000C5FD7">
        <w:rPr>
          <w:rFonts w:ascii="Times New Roman" w:hAnsi="Times New Roman"/>
          <w:sz w:val="24"/>
          <w:szCs w:val="24"/>
        </w:rPr>
        <w:t>и организаций, осуществляющих в соответствии с  федеральными законами отдельные публичные полномочия</w:t>
      </w:r>
      <w:r w:rsidR="00986CAF">
        <w:rPr>
          <w:rFonts w:ascii="Times New Roman" w:hAnsi="Times New Roman"/>
          <w:sz w:val="24"/>
          <w:szCs w:val="24"/>
        </w:rPr>
        <w:t xml:space="preserve"> не позднее, чем за 5 рабочих дней до даты посещения. </w:t>
      </w:r>
    </w:p>
    <w:p w:rsidR="00B60BC1" w:rsidRDefault="00986CAF" w:rsidP="00C77FDB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уведомлении</w:t>
      </w:r>
      <w:r w:rsidR="00B60BC1">
        <w:rPr>
          <w:rFonts w:ascii="Times New Roman" w:hAnsi="Times New Roman"/>
          <w:sz w:val="24"/>
          <w:szCs w:val="24"/>
        </w:rPr>
        <w:t xml:space="preserve"> о посещении необходимо указать следующие сведения:</w:t>
      </w:r>
    </w:p>
    <w:p w:rsidR="00876929" w:rsidRDefault="00876929" w:rsidP="0087692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планируемого посещения;</w:t>
      </w:r>
    </w:p>
    <w:p w:rsidR="00876929" w:rsidRDefault="00876929" w:rsidP="0087692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 основание посещения;</w:t>
      </w:r>
    </w:p>
    <w:p w:rsidR="00DC312C" w:rsidRDefault="00DC312C" w:rsidP="00DC312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лиц, предоставляющих субъект общественного контроля.</w:t>
      </w:r>
    </w:p>
    <w:p w:rsidR="00DC312C" w:rsidRPr="00DC312C" w:rsidRDefault="00DC312C" w:rsidP="00DC312C">
      <w:pPr>
        <w:pStyle w:val="a6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о посещении может быть направлено любым доступным  способом (посредством почтовой или факсимильной связи, электронной почты, с использованием информационно-телекоммуникационной сети «Интернет», официального сайта органа или организации, указанных в пункте 3.1 настоящего Положения, нарочным).</w:t>
      </w:r>
    </w:p>
    <w:p w:rsidR="00DC312C" w:rsidRDefault="00DC312C" w:rsidP="00AF011C">
      <w:pPr>
        <w:pStyle w:val="a6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посещении субъектами общественного контроля органы и организации, осуществляющие в соответствии с федеральными законами отдельные публичные полномочия, в отношении которых осуществляется общественный контроль, обязаны:</w:t>
      </w:r>
    </w:p>
    <w:p w:rsidR="00DC312C" w:rsidRDefault="00DA5E93" w:rsidP="00AF011C">
      <w:pPr>
        <w:pStyle w:val="a6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C312C">
        <w:rPr>
          <w:rFonts w:ascii="Times New Roman" w:hAnsi="Times New Roman"/>
          <w:sz w:val="24"/>
          <w:szCs w:val="24"/>
        </w:rPr>
        <w:t xml:space="preserve">е позднее </w:t>
      </w:r>
      <w:r w:rsidR="00002575">
        <w:rPr>
          <w:rFonts w:ascii="Times New Roman" w:hAnsi="Times New Roman"/>
          <w:sz w:val="24"/>
          <w:szCs w:val="24"/>
        </w:rPr>
        <w:t>1 рабочего дня, следующего за днём получения уведомления о посещении, письменно (любым доступным способом) подтвердить дату и время посещения;</w:t>
      </w:r>
    </w:p>
    <w:p w:rsidR="00002575" w:rsidRDefault="00002575" w:rsidP="00DC312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ответственное лицо;</w:t>
      </w:r>
    </w:p>
    <w:p w:rsidR="00002575" w:rsidRDefault="00002575" w:rsidP="00DC312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доступ субъектам общественного контроля.</w:t>
      </w:r>
    </w:p>
    <w:p w:rsidR="00002575" w:rsidRDefault="00AF011C" w:rsidP="00AF011C">
      <w:pPr>
        <w:pStyle w:val="a6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и организации, в отношении которых осуществляется общественный контроль, при посещении субъектов общественного контроля имеют право:</w:t>
      </w:r>
    </w:p>
    <w:p w:rsidR="00AF011C" w:rsidRDefault="00AF011C" w:rsidP="00AF011C">
      <w:pPr>
        <w:pStyle w:val="a6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от субъекта общественного контроля необходимую информацию  об осуществлении общественного контроля;</w:t>
      </w:r>
    </w:p>
    <w:p w:rsidR="00AF011C" w:rsidRDefault="00AF011C" w:rsidP="00AF011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знакомиться с результатами осуществления общественного контроля;</w:t>
      </w:r>
    </w:p>
    <w:p w:rsidR="00AF011C" w:rsidRDefault="00AF011C" w:rsidP="00AF011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объяснения, по предмету общественного контроля.</w:t>
      </w:r>
    </w:p>
    <w:p w:rsidR="00AF011C" w:rsidRDefault="00AF011C" w:rsidP="00AF011C">
      <w:pPr>
        <w:pStyle w:val="a6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и организации, в отношении которых осуществляется общественный контроль, при посещении субъектов общественного контроля пользуются также иными правами, предоставленными законодательством Российской Федерации и исполняют иные обязанности, предусмотренные законодательством российской Федерации.</w:t>
      </w:r>
    </w:p>
    <w:p w:rsidR="00AF011C" w:rsidRDefault="00AF011C" w:rsidP="00AF011C">
      <w:pPr>
        <w:pStyle w:val="a6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Субъекты общественного контроля при посещении органов местного самоуправления, муниципальные организации, иные органы и организации, осуществляющие в соответствии с федеральными законами отдельные публичные полномочия, обязаны:</w:t>
      </w:r>
    </w:p>
    <w:p w:rsidR="00AF011C" w:rsidRDefault="00AF011C" w:rsidP="00AF011C">
      <w:pPr>
        <w:pStyle w:val="a6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законодательство Российской Федерации, права и законные интересы органов</w:t>
      </w:r>
      <w:r w:rsidRPr="00AF0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самоуправления, муниципальные организации, иные органы и организации, осуществляющие в соответствии с федеральными законами отдельные публичные полномочия;</w:t>
      </w:r>
    </w:p>
    <w:p w:rsidR="00AF011C" w:rsidRDefault="00AF011C" w:rsidP="00AF011C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сроки проведения общественного контроля;</w:t>
      </w:r>
    </w:p>
    <w:p w:rsidR="00AF011C" w:rsidRDefault="0023759C" w:rsidP="0023759C">
      <w:pPr>
        <w:pStyle w:val="a6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 препятствовать осуществлению полномочий органов местного самоуправления, муниципальные организации, иные органы и организации, осуществляющие в соответствии с федеральными законами отдельные публичные полномочия;</w:t>
      </w:r>
    </w:p>
    <w:p w:rsidR="0023759C" w:rsidRDefault="0023759C" w:rsidP="00AF011C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противопожарной безопасности;</w:t>
      </w:r>
    </w:p>
    <w:p w:rsidR="0023759C" w:rsidRDefault="0023759C" w:rsidP="0023759C">
      <w:pPr>
        <w:pStyle w:val="a6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режим рабочего дня органов</w:t>
      </w:r>
      <w:r w:rsidRPr="002375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самоуправления,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23759C" w:rsidRDefault="0023759C" w:rsidP="0023759C">
      <w:pPr>
        <w:pStyle w:val="a6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общественного контроля при посещении органов</w:t>
      </w:r>
      <w:r w:rsidRPr="002375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самоуправления, муниципальные организации, иные органы и организации, осуществляющие в соответствии с федеральными законами отдельные публичные полномочия, имеют право:</w:t>
      </w:r>
    </w:p>
    <w:p w:rsidR="0023759C" w:rsidRDefault="0023759C" w:rsidP="0023759C">
      <w:pPr>
        <w:pStyle w:val="a6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специального разрешения получать доступ к помещениям, в которых располагаются указанные органы или организации, при соблюдении принятых в данных органах и организациях локальных нормативных правовых актов по вопросам их организации и деятельности;</w:t>
      </w:r>
    </w:p>
    <w:p w:rsidR="0023759C" w:rsidRDefault="0023759C" w:rsidP="0023759C">
      <w:pPr>
        <w:pStyle w:val="a6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беседовать с должностными лицами и работниками указанных органов и организаций, гражданами, получающими услуги в указанных органах или  организациях;</w:t>
      </w:r>
    </w:p>
    <w:p w:rsidR="0023759C" w:rsidRDefault="0023759C" w:rsidP="0023759C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предложения, рекомендации и замечания;</w:t>
      </w:r>
    </w:p>
    <w:p w:rsidR="0023759C" w:rsidRDefault="0023759C" w:rsidP="0023759C">
      <w:pPr>
        <w:pStyle w:val="a6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запрашивать и получать у органов и организаций сведения и документы, необходимые для достижения цели посещения указанных органов и организаций в  порядке, установленном законодательством Российской Федерации.</w:t>
      </w:r>
    </w:p>
    <w:p w:rsidR="0023759C" w:rsidRDefault="0023759C" w:rsidP="00A934F0">
      <w:pPr>
        <w:pStyle w:val="a6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Субъекты общественного контроля при  посещении органов и организаций, в отношении которых осуществляется общественный контроль,  пользуются также иными правами, предоставленными законодательством Российской Федерации и исполняют иные обязанности, предусмотренные законодательством российской Федерации.</w:t>
      </w:r>
    </w:p>
    <w:p w:rsidR="0023759C" w:rsidRDefault="0023759C" w:rsidP="00EA1D62">
      <w:pPr>
        <w:pStyle w:val="a6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наличии в органе местного самоуправления, муниципальные организации, иные органы и организации, осуществляющие в соответствии с федеральными законами отдельные публичные полномочия, в отношении которых осуществляется общественный контроль, специального режима доступа, установленного законодательством Российской Федераци</w:t>
      </w:r>
      <w:r w:rsidR="00A934F0">
        <w:rPr>
          <w:rFonts w:ascii="Times New Roman" w:hAnsi="Times New Roman"/>
          <w:sz w:val="24"/>
          <w:szCs w:val="24"/>
        </w:rPr>
        <w:t>и или локальными  нор</w:t>
      </w:r>
      <w:r>
        <w:rPr>
          <w:rFonts w:ascii="Times New Roman" w:hAnsi="Times New Roman"/>
          <w:sz w:val="24"/>
          <w:szCs w:val="24"/>
        </w:rPr>
        <w:t>мативными актами</w:t>
      </w:r>
      <w:r w:rsidR="00A934F0">
        <w:rPr>
          <w:rFonts w:ascii="Times New Roman" w:hAnsi="Times New Roman"/>
          <w:sz w:val="24"/>
          <w:szCs w:val="24"/>
        </w:rPr>
        <w:t xml:space="preserve"> органа или организации, посещение лицами субъекта общественного контроля такого органа или организации осуществляется согласно установленному режиму.</w:t>
      </w:r>
      <w:proofErr w:type="gramEnd"/>
    </w:p>
    <w:p w:rsidR="00A934F0" w:rsidRPr="0023759C" w:rsidRDefault="00A934F0" w:rsidP="00EA1D62">
      <w:pPr>
        <w:pStyle w:val="a6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лица субъекта общественного контроля в посещении органов</w:t>
      </w:r>
      <w:r w:rsidRPr="00A934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самоуправления, муниципальные организации, иные органы и организации, осуществляющие в соответствии с федеральными законами отдельные публичные полномочия, не допускается.</w:t>
      </w: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B9A" w:rsidRPr="009F7089" w:rsidRDefault="002E4B9A" w:rsidP="009F6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E4B9A" w:rsidRPr="009F7089" w:rsidSect="00900F7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7DF"/>
    <w:multiLevelType w:val="hybridMultilevel"/>
    <w:tmpl w:val="C4F6CA56"/>
    <w:lvl w:ilvl="0" w:tplc="13DAF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4392E"/>
    <w:multiLevelType w:val="hybridMultilevel"/>
    <w:tmpl w:val="9BEC255E"/>
    <w:lvl w:ilvl="0" w:tplc="9EB86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B13CD"/>
    <w:multiLevelType w:val="hybridMultilevel"/>
    <w:tmpl w:val="991EB97E"/>
    <w:lvl w:ilvl="0" w:tplc="8926D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D60EC4"/>
    <w:multiLevelType w:val="hybridMultilevel"/>
    <w:tmpl w:val="2ECEE2E6"/>
    <w:lvl w:ilvl="0" w:tplc="29F4B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937E56"/>
    <w:multiLevelType w:val="multilevel"/>
    <w:tmpl w:val="06A40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94C47D1"/>
    <w:multiLevelType w:val="hybridMultilevel"/>
    <w:tmpl w:val="1BD6478C"/>
    <w:lvl w:ilvl="0" w:tplc="73BEB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C46DEE"/>
    <w:multiLevelType w:val="hybridMultilevel"/>
    <w:tmpl w:val="B48AA7EE"/>
    <w:lvl w:ilvl="0" w:tplc="F77C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68614D"/>
    <w:multiLevelType w:val="hybridMultilevel"/>
    <w:tmpl w:val="BE765536"/>
    <w:lvl w:ilvl="0" w:tplc="779AB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415815"/>
    <w:multiLevelType w:val="multilevel"/>
    <w:tmpl w:val="B8C4DF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9">
    <w:nsid w:val="7EB35E3C"/>
    <w:multiLevelType w:val="hybridMultilevel"/>
    <w:tmpl w:val="78DCF236"/>
    <w:lvl w:ilvl="0" w:tplc="366C2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8438AB"/>
    <w:multiLevelType w:val="hybridMultilevel"/>
    <w:tmpl w:val="E80E04B2"/>
    <w:lvl w:ilvl="0" w:tplc="7700A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25"/>
    <w:rsid w:val="00002575"/>
    <w:rsid w:val="00035839"/>
    <w:rsid w:val="000C5FD7"/>
    <w:rsid w:val="00157650"/>
    <w:rsid w:val="001E3AF7"/>
    <w:rsid w:val="0023759C"/>
    <w:rsid w:val="002E4B9A"/>
    <w:rsid w:val="00312935"/>
    <w:rsid w:val="0039538E"/>
    <w:rsid w:val="003B4FB6"/>
    <w:rsid w:val="003E01BE"/>
    <w:rsid w:val="003F0376"/>
    <w:rsid w:val="0041093D"/>
    <w:rsid w:val="00512D87"/>
    <w:rsid w:val="00553773"/>
    <w:rsid w:val="0057230C"/>
    <w:rsid w:val="00630923"/>
    <w:rsid w:val="006F622F"/>
    <w:rsid w:val="00722541"/>
    <w:rsid w:val="00876929"/>
    <w:rsid w:val="008D135F"/>
    <w:rsid w:val="008E49C3"/>
    <w:rsid w:val="00900F75"/>
    <w:rsid w:val="00986CAF"/>
    <w:rsid w:val="009F6EC9"/>
    <w:rsid w:val="009F7089"/>
    <w:rsid w:val="00A05DBF"/>
    <w:rsid w:val="00A2444D"/>
    <w:rsid w:val="00A934F0"/>
    <w:rsid w:val="00AF011C"/>
    <w:rsid w:val="00B60BC1"/>
    <w:rsid w:val="00B95AD5"/>
    <w:rsid w:val="00BE2CA0"/>
    <w:rsid w:val="00C77FDB"/>
    <w:rsid w:val="00D167AE"/>
    <w:rsid w:val="00D42DA0"/>
    <w:rsid w:val="00D678C3"/>
    <w:rsid w:val="00D9201C"/>
    <w:rsid w:val="00DA5E93"/>
    <w:rsid w:val="00DC158D"/>
    <w:rsid w:val="00DC312C"/>
    <w:rsid w:val="00DF7B23"/>
    <w:rsid w:val="00EA1D62"/>
    <w:rsid w:val="00F316F8"/>
    <w:rsid w:val="00F84A21"/>
    <w:rsid w:val="00F92225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1B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54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F7089"/>
    <w:rPr>
      <w:color w:val="0000FF" w:themeColor="hyperlink"/>
      <w:u w:val="single"/>
    </w:rPr>
  </w:style>
  <w:style w:type="paragraph" w:customStyle="1" w:styleId="ConsPlusNormal">
    <w:name w:val="ConsPlusNormal"/>
    <w:rsid w:val="005723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1B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54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F7089"/>
    <w:rPr>
      <w:color w:val="0000FF" w:themeColor="hyperlink"/>
      <w:u w:val="single"/>
    </w:rPr>
  </w:style>
  <w:style w:type="paragraph" w:customStyle="1" w:styleId="ConsPlusNormal">
    <w:name w:val="ConsPlusNormal"/>
    <w:rsid w:val="005723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2</cp:revision>
  <cp:lastPrinted>2003-01-01T01:28:00Z</cp:lastPrinted>
  <dcterms:created xsi:type="dcterms:W3CDTF">2002-12-31T22:34:00Z</dcterms:created>
  <dcterms:modified xsi:type="dcterms:W3CDTF">2002-12-31T22:34:00Z</dcterms:modified>
</cp:coreProperties>
</file>