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5C" w:rsidRPr="0021212B" w:rsidRDefault="00A4755C" w:rsidP="00A4755C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21212B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A4755C" w:rsidRPr="0021212B" w:rsidRDefault="00A4755C" w:rsidP="00A4755C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21212B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A4755C" w:rsidRPr="0021212B" w:rsidRDefault="00A4755C" w:rsidP="00A4755C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21212B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A4755C" w:rsidRPr="0021212B" w:rsidRDefault="00A4755C" w:rsidP="00A4755C">
      <w:pPr>
        <w:ind w:left="-540"/>
        <w:jc w:val="center"/>
        <w:rPr>
          <w:rFonts w:ascii="Times New Roman" w:hAnsi="Times New Roman"/>
          <w:sz w:val="24"/>
          <w:szCs w:val="24"/>
        </w:rPr>
      </w:pPr>
      <w:r w:rsidRPr="0021212B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A4755C" w:rsidRPr="0021212B" w:rsidRDefault="00A4755C" w:rsidP="00A4755C">
      <w:pPr>
        <w:rPr>
          <w:rFonts w:ascii="Times New Roman" w:hAnsi="Times New Roman"/>
          <w:sz w:val="24"/>
          <w:szCs w:val="24"/>
        </w:rPr>
      </w:pPr>
    </w:p>
    <w:p w:rsidR="00A4755C" w:rsidRPr="0021212B" w:rsidRDefault="00A4755C" w:rsidP="00A4755C">
      <w:pPr>
        <w:jc w:val="center"/>
        <w:rPr>
          <w:rFonts w:ascii="Times New Roman" w:hAnsi="Times New Roman"/>
          <w:sz w:val="24"/>
          <w:szCs w:val="24"/>
        </w:rPr>
      </w:pPr>
      <w:r w:rsidRPr="0021212B">
        <w:rPr>
          <w:rFonts w:ascii="Times New Roman" w:hAnsi="Times New Roman"/>
          <w:sz w:val="24"/>
          <w:szCs w:val="24"/>
        </w:rP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28"/>
        <w:gridCol w:w="2751"/>
      </w:tblGrid>
      <w:tr w:rsidR="00A4755C" w:rsidRPr="0021212B" w:rsidTr="000527B8">
        <w:tc>
          <w:tcPr>
            <w:tcW w:w="3085" w:type="dxa"/>
            <w:hideMark/>
          </w:tcPr>
          <w:p w:rsidR="00A4755C" w:rsidRPr="0021212B" w:rsidRDefault="00A4755C" w:rsidP="0060197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12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019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62FB1">
              <w:rPr>
                <w:rFonts w:ascii="Times New Roman" w:hAnsi="Times New Roman"/>
                <w:sz w:val="24"/>
                <w:szCs w:val="24"/>
              </w:rPr>
              <w:t xml:space="preserve">26 ноября </w:t>
            </w:r>
            <w:r w:rsidRPr="0021212B">
              <w:rPr>
                <w:rFonts w:ascii="Times New Roman" w:hAnsi="Times New Roman"/>
                <w:sz w:val="24"/>
                <w:szCs w:val="24"/>
              </w:rPr>
              <w:t>2018</w:t>
            </w:r>
            <w:r w:rsidRPr="002121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28" w:type="dxa"/>
            <w:hideMark/>
          </w:tcPr>
          <w:p w:rsidR="00A4755C" w:rsidRPr="0021212B" w:rsidRDefault="00A4755C" w:rsidP="00FE607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212B">
              <w:rPr>
                <w:rFonts w:ascii="Times New Roman" w:hAnsi="Times New Roman"/>
                <w:sz w:val="24"/>
                <w:szCs w:val="24"/>
              </w:rPr>
              <w:t xml:space="preserve">            пос. Чайковский</w:t>
            </w:r>
          </w:p>
        </w:tc>
        <w:tc>
          <w:tcPr>
            <w:tcW w:w="2751" w:type="dxa"/>
            <w:hideMark/>
          </w:tcPr>
          <w:p w:rsidR="00A4755C" w:rsidRPr="000527B8" w:rsidRDefault="00A4755C" w:rsidP="0060197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21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</w:t>
            </w:r>
            <w:r w:rsidR="000527B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121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121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212B">
              <w:rPr>
                <w:rFonts w:ascii="Times New Roman" w:hAnsi="Times New Roman"/>
                <w:sz w:val="24"/>
                <w:szCs w:val="24"/>
              </w:rPr>
              <w:t>№</w:t>
            </w:r>
            <w:r w:rsidRPr="002121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5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FB1">
              <w:rPr>
                <w:rFonts w:ascii="Times New Roman" w:hAnsi="Times New Roman"/>
                <w:sz w:val="24"/>
                <w:szCs w:val="24"/>
              </w:rPr>
              <w:t>30</w:t>
            </w:r>
            <w:r w:rsidR="0060197A">
              <w:rPr>
                <w:rFonts w:ascii="Times New Roman" w:hAnsi="Times New Roman"/>
                <w:sz w:val="24"/>
                <w:szCs w:val="24"/>
              </w:rPr>
              <w:t>-</w:t>
            </w:r>
            <w:r w:rsidR="00C62FB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A4755C" w:rsidRPr="0021212B" w:rsidRDefault="00A4755C" w:rsidP="00A4755C">
      <w:pPr>
        <w:rPr>
          <w:rFonts w:ascii="Times New Roman" w:hAnsi="Times New Roman"/>
          <w:sz w:val="24"/>
          <w:szCs w:val="24"/>
        </w:rPr>
      </w:pPr>
    </w:p>
    <w:p w:rsidR="00A4755C" w:rsidRPr="0021212B" w:rsidRDefault="00A4755C" w:rsidP="00A4755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A4755C" w:rsidRPr="0021212B" w:rsidTr="00FE6078">
        <w:trPr>
          <w:trHeight w:val="341"/>
        </w:trPr>
        <w:tc>
          <w:tcPr>
            <w:tcW w:w="10031" w:type="dxa"/>
            <w:hideMark/>
          </w:tcPr>
          <w:p w:rsidR="00A4755C" w:rsidRPr="0021212B" w:rsidRDefault="00A4755C" w:rsidP="00FE60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12B">
              <w:rPr>
                <w:rFonts w:ascii="Times New Roman" w:hAnsi="Times New Roman"/>
                <w:sz w:val="24"/>
                <w:szCs w:val="24"/>
              </w:rPr>
              <w:t>О налоге на имущество физических лиц</w:t>
            </w:r>
          </w:p>
        </w:tc>
      </w:tr>
    </w:tbl>
    <w:p w:rsidR="00B21CAB" w:rsidRPr="0021212B" w:rsidRDefault="00B21CAB" w:rsidP="00B21CAB">
      <w:pPr>
        <w:rPr>
          <w:rFonts w:ascii="Times New Roman" w:hAnsi="Times New Roman"/>
          <w:sz w:val="24"/>
          <w:szCs w:val="24"/>
        </w:rPr>
      </w:pPr>
    </w:p>
    <w:p w:rsidR="00A4755C" w:rsidRPr="0021212B" w:rsidRDefault="00B21CAB" w:rsidP="00A4755C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21212B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8" w:history="1">
        <w:r w:rsidRPr="0021212B">
          <w:rPr>
            <w:rFonts w:ascii="Times New Roman" w:hAnsi="Times New Roman"/>
            <w:sz w:val="24"/>
            <w:szCs w:val="24"/>
          </w:rPr>
          <w:t>главой 32 Налогового кодекса Российской Федерации</w:t>
        </w:r>
      </w:hyperlink>
      <w:r w:rsidRPr="0021212B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21212B">
          <w:rPr>
            <w:rFonts w:ascii="Times New Roman" w:hAnsi="Times New Roman"/>
            <w:sz w:val="24"/>
            <w:szCs w:val="24"/>
          </w:rPr>
          <w:t>Федеральным законом от 06.10.2003 № 131-ФЗ</w:t>
        </w:r>
      </w:hyperlink>
      <w:r w:rsidRPr="0021212B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Pr="0021212B">
          <w:rPr>
            <w:rFonts w:ascii="Times New Roman" w:hAnsi="Times New Roman"/>
            <w:sz w:val="24"/>
            <w:szCs w:val="24"/>
          </w:rPr>
          <w:t xml:space="preserve">Законом Красноярского края </w:t>
        </w:r>
        <w:r w:rsidR="00D557F6" w:rsidRPr="0021212B">
          <w:rPr>
            <w:rFonts w:ascii="Times New Roman" w:hAnsi="Times New Roman"/>
            <w:sz w:val="24"/>
            <w:szCs w:val="24"/>
          </w:rPr>
          <w:t xml:space="preserve">№ 6-2108 от </w:t>
        </w:r>
        <w:r w:rsidR="002F2DAC" w:rsidRPr="002F2DAC">
          <w:rPr>
            <w:rFonts w:ascii="Times New Roman" w:hAnsi="Times New Roman"/>
            <w:sz w:val="24"/>
            <w:szCs w:val="24"/>
          </w:rPr>
          <w:t>01</w:t>
        </w:r>
        <w:r w:rsidR="00D557F6" w:rsidRPr="0021212B">
          <w:rPr>
            <w:rFonts w:ascii="Times New Roman" w:hAnsi="Times New Roman"/>
            <w:sz w:val="24"/>
            <w:szCs w:val="24"/>
          </w:rPr>
          <w:t>.11.2018</w:t>
        </w:r>
        <w:r w:rsidRPr="0021212B">
          <w:rPr>
            <w:rFonts w:ascii="Times New Roman" w:hAnsi="Times New Roman"/>
            <w:sz w:val="24"/>
            <w:szCs w:val="24"/>
          </w:rPr>
          <w:t xml:space="preserve"> «</w:t>
        </w:r>
      </w:hyperlink>
      <w:r w:rsidRPr="0021212B">
        <w:rPr>
          <w:rFonts w:ascii="Times New Roman" w:hAnsi="Times New Roman"/>
          <w:sz w:val="24"/>
          <w:szCs w:val="24"/>
        </w:rPr>
        <w:t>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</w:t>
      </w:r>
      <w:r w:rsidR="008726C6" w:rsidRPr="0021212B">
        <w:rPr>
          <w:rFonts w:ascii="Times New Roman" w:hAnsi="Times New Roman"/>
          <w:sz w:val="24"/>
          <w:szCs w:val="24"/>
        </w:rPr>
        <w:t xml:space="preserve"> исходя из </w:t>
      </w:r>
      <w:r w:rsidRPr="0021212B">
        <w:rPr>
          <w:rFonts w:ascii="Times New Roman" w:hAnsi="Times New Roman"/>
          <w:sz w:val="24"/>
          <w:szCs w:val="24"/>
        </w:rPr>
        <w:t>кадастровой стоимости объектов налогообложения»</w:t>
      </w:r>
      <w:r w:rsidR="00A4755C" w:rsidRPr="0021212B">
        <w:rPr>
          <w:rFonts w:ascii="Times New Roman" w:hAnsi="Times New Roman"/>
          <w:sz w:val="24"/>
          <w:szCs w:val="24"/>
        </w:rPr>
        <w:t>, руководствуясь Уставом Чайковского сельсовета сельский</w:t>
      </w:r>
      <w:proofErr w:type="gramEnd"/>
      <w:r w:rsidR="00A4755C" w:rsidRPr="0021212B">
        <w:rPr>
          <w:rFonts w:ascii="Times New Roman" w:hAnsi="Times New Roman"/>
          <w:sz w:val="24"/>
          <w:szCs w:val="24"/>
        </w:rPr>
        <w:t xml:space="preserve"> Совет депутатов РЕШИЛ:</w:t>
      </w:r>
    </w:p>
    <w:p w:rsidR="00B21CAB" w:rsidRPr="0021212B" w:rsidRDefault="00B21CAB" w:rsidP="004C4A34">
      <w:pPr>
        <w:numPr>
          <w:ilvl w:val="0"/>
          <w:numId w:val="1"/>
        </w:numPr>
        <w:ind w:left="0" w:firstLine="851"/>
        <w:rPr>
          <w:rFonts w:ascii="Times New Roman" w:hAnsi="Times New Roman"/>
          <w:sz w:val="24"/>
          <w:szCs w:val="24"/>
        </w:rPr>
      </w:pPr>
      <w:r w:rsidRPr="0021212B">
        <w:rPr>
          <w:rFonts w:ascii="Times New Roman" w:hAnsi="Times New Roman"/>
          <w:sz w:val="24"/>
          <w:szCs w:val="24"/>
        </w:rPr>
        <w:t xml:space="preserve">Установить налог на имущество физических лиц на территории муниципального образования </w:t>
      </w:r>
      <w:r w:rsidR="00A4755C" w:rsidRPr="0021212B">
        <w:rPr>
          <w:rFonts w:ascii="Times New Roman" w:hAnsi="Times New Roman"/>
          <w:sz w:val="24"/>
          <w:szCs w:val="24"/>
        </w:rPr>
        <w:t>Чайковск</w:t>
      </w:r>
      <w:r w:rsidR="0021212B">
        <w:rPr>
          <w:rFonts w:ascii="Times New Roman" w:hAnsi="Times New Roman"/>
          <w:sz w:val="24"/>
          <w:szCs w:val="24"/>
        </w:rPr>
        <w:t>ий</w:t>
      </w:r>
      <w:r w:rsidR="00A4755C" w:rsidRPr="0021212B">
        <w:rPr>
          <w:rFonts w:ascii="Times New Roman" w:hAnsi="Times New Roman"/>
          <w:sz w:val="24"/>
          <w:szCs w:val="24"/>
        </w:rPr>
        <w:t xml:space="preserve"> сельсовет</w:t>
      </w:r>
      <w:r w:rsidRPr="0021212B">
        <w:rPr>
          <w:rFonts w:ascii="Times New Roman" w:hAnsi="Times New Roman"/>
          <w:sz w:val="24"/>
          <w:szCs w:val="24"/>
        </w:rPr>
        <w:t>.</w:t>
      </w:r>
    </w:p>
    <w:p w:rsidR="00B21CAB" w:rsidRDefault="00B21CAB" w:rsidP="004C4A34">
      <w:pPr>
        <w:numPr>
          <w:ilvl w:val="0"/>
          <w:numId w:val="1"/>
        </w:numPr>
        <w:ind w:left="0" w:firstLine="851"/>
        <w:rPr>
          <w:rFonts w:ascii="Times New Roman" w:hAnsi="Times New Roman"/>
          <w:sz w:val="24"/>
          <w:szCs w:val="24"/>
        </w:rPr>
      </w:pPr>
      <w:r w:rsidRPr="0021212B">
        <w:rPr>
          <w:rFonts w:ascii="Times New Roman" w:hAnsi="Times New Roman"/>
          <w:sz w:val="24"/>
          <w:szCs w:val="24"/>
        </w:rPr>
        <w:t>Налоговые ставки устанавливаются в следующих размерах от кадастровой стоимости: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9"/>
        <w:gridCol w:w="2127"/>
      </w:tblGrid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4C4A3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4C4A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4A3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Объект налогообложения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Налоговая ставка (в процентах)</w:t>
            </w: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жилой дом (часть жилого дома);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B16023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квартира (часть квартиры);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46690">
              <w:rPr>
                <w:rFonts w:ascii="Times New Roman" w:hAnsi="Times New Roman"/>
                <w:sz w:val="24"/>
                <w:szCs w:val="24"/>
              </w:rPr>
              <w:t>0</w:t>
            </w:r>
            <w:r w:rsidR="00B1602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комната;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46690">
              <w:rPr>
                <w:rFonts w:ascii="Times New Roman" w:hAnsi="Times New Roman"/>
                <w:sz w:val="24"/>
                <w:szCs w:val="24"/>
              </w:rPr>
              <w:t>0</w:t>
            </w:r>
            <w:r w:rsidR="00B1602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583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835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единый недвижимый комплекс, в состав которого входит хотя бы одно жилое помещение (жилой дом);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583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835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C4A34" w:rsidTr="00430E64">
        <w:trPr>
          <w:trHeight w:val="153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гараж, машино-место;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46690">
              <w:rPr>
                <w:rFonts w:ascii="Times New Roman" w:hAnsi="Times New Roman"/>
                <w:sz w:val="24"/>
                <w:szCs w:val="24"/>
              </w:rPr>
              <w:t>0</w:t>
            </w:r>
            <w:r w:rsidR="00B1602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A34">
              <w:rPr>
                <w:rFonts w:ascii="Times New Roman" w:hAnsi="Times New Roman"/>
                <w:sz w:val="24"/>
                <w:szCs w:val="24"/>
              </w:rPr>
              <w:t>хозяйственное строение или сооружение, площадь которого не превышает 50 квадратных метров и которое расположено на земельном участке, предоставленном для ведения личного подсобного, дачного хозяйства, огородничества, садоводства или индивидуального жилищного строительства;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64669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Объект налогообложения, кадастровая стоимость которого превышает 300 миллионов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4A34" w:rsidTr="00430E64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34" w:rsidRPr="004C4A34" w:rsidRDefault="004C4A34" w:rsidP="004C4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3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B27997" w:rsidRPr="0021212B" w:rsidRDefault="00430E64" w:rsidP="00B27997">
      <w:pPr>
        <w:pStyle w:val="a7"/>
        <w:ind w:left="0" w:firstLine="708"/>
        <w:jc w:val="both"/>
      </w:pPr>
      <w:r>
        <w:lastRenderedPageBreak/>
        <w:t xml:space="preserve">3. </w:t>
      </w:r>
      <w:r w:rsidR="00B27997" w:rsidRPr="0021212B">
        <w:t xml:space="preserve">Со дня вступления в силу Решения Чайковского сельского Совета депутатов от </w:t>
      </w:r>
      <w:r w:rsidR="00835218">
        <w:t>26.11.</w:t>
      </w:r>
      <w:r w:rsidR="00B27997" w:rsidRPr="0021212B">
        <w:t>201</w:t>
      </w:r>
      <w:r w:rsidR="00B27997">
        <w:t>8</w:t>
      </w:r>
      <w:r w:rsidR="00B27997" w:rsidRPr="0021212B">
        <w:t xml:space="preserve">    № </w:t>
      </w:r>
      <w:r w:rsidR="00835218">
        <w:t>30-120</w:t>
      </w:r>
      <w:r w:rsidR="00B27997" w:rsidRPr="0021212B">
        <w:t xml:space="preserve"> признать утратившим силу:</w:t>
      </w:r>
    </w:p>
    <w:p w:rsidR="00B27997" w:rsidRPr="0021212B" w:rsidRDefault="00B27997" w:rsidP="004C4A34">
      <w:pPr>
        <w:pStyle w:val="a7"/>
        <w:ind w:left="0" w:firstLine="708"/>
        <w:jc w:val="both"/>
      </w:pPr>
      <w:r w:rsidRPr="0021212B">
        <w:t>3.1. Решение Чайковского сельского Совета депутатов от 27.11.2014 № 51-138 «Об установлении на территории муниципального образования Чайковского сельсовета налог на имущество физических лиц»;</w:t>
      </w:r>
    </w:p>
    <w:p w:rsidR="00B27997" w:rsidRPr="0021212B" w:rsidRDefault="00B27997" w:rsidP="004C4A34">
      <w:pPr>
        <w:pStyle w:val="a7"/>
        <w:ind w:left="0" w:firstLine="708"/>
        <w:jc w:val="both"/>
      </w:pPr>
      <w:r w:rsidRPr="0021212B">
        <w:t>3.2. Решение Чайковского сельского Совета депутатов 29.12.2014 № 53-147 «О внесении изменений в решение  Чайковского сельского Совета депутатов от 27.11.2014</w:t>
      </w:r>
      <w:r>
        <w:t xml:space="preserve">   </w:t>
      </w:r>
      <w:r w:rsidRPr="0021212B">
        <w:t xml:space="preserve"> № 51-138 «Об установлении на территории муниципального образования Чайковского сельсовета налог на имущество физических лиц»;</w:t>
      </w:r>
    </w:p>
    <w:p w:rsidR="00B27997" w:rsidRPr="0021212B" w:rsidRDefault="00B27997" w:rsidP="004C4A34">
      <w:pPr>
        <w:pStyle w:val="a7"/>
        <w:ind w:left="0" w:firstLine="708"/>
        <w:jc w:val="both"/>
      </w:pPr>
      <w:r w:rsidRPr="0021212B">
        <w:t>3.3. Решение Чайковского сельского Совета депутатов 17.06.2015 № 58-160 «О внесении изменений в решение  Чайковского сельского Совета депутатов от 27.11.2014</w:t>
      </w:r>
      <w:r>
        <w:t xml:space="preserve">   </w:t>
      </w:r>
      <w:r w:rsidRPr="0021212B">
        <w:t xml:space="preserve"> № 51-138 «Об установлении на территории муниципального образования Чайковского сельсовета налог на имущество физических лиц».</w:t>
      </w:r>
    </w:p>
    <w:p w:rsidR="00B27997" w:rsidRPr="0021212B" w:rsidRDefault="00B27997" w:rsidP="004C4A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12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121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1212B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 Чайковского сельского Совета депутатов (Перияйнен Н. Р.).</w:t>
      </w:r>
    </w:p>
    <w:p w:rsidR="00B27997" w:rsidRPr="0021212B" w:rsidRDefault="00B27997" w:rsidP="004C4A34">
      <w:pPr>
        <w:pStyle w:val="a7"/>
        <w:ind w:left="0" w:firstLine="708"/>
        <w:jc w:val="both"/>
      </w:pPr>
      <w:r w:rsidRPr="0021212B">
        <w:t>5.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82712E" w:rsidRPr="0060197A" w:rsidRDefault="00B27997" w:rsidP="0060197A">
      <w:pPr>
        <w:pStyle w:val="a7"/>
        <w:autoSpaceDE w:val="0"/>
        <w:autoSpaceDN w:val="0"/>
        <w:adjustRightInd w:val="0"/>
        <w:ind w:left="0" w:firstLine="708"/>
        <w:jc w:val="both"/>
        <w:outlineLvl w:val="2"/>
      </w:pPr>
      <w:r w:rsidRPr="0021212B">
        <w:t xml:space="preserve">6. </w:t>
      </w:r>
      <w:r w:rsidR="00AA1690" w:rsidRPr="00AA1690">
        <w:t>Настоящее решение вступает в силу не ранее</w:t>
      </w:r>
      <w:r w:rsidR="00AA1690">
        <w:t>,</w:t>
      </w:r>
      <w:r w:rsidR="00AA1690" w:rsidRPr="00AA1690">
        <w:t xml:space="preserve"> чем по истечении одного месяца со дня его официального опубликования и не ранее 1-го числа очередного налогового периода по нал</w:t>
      </w:r>
      <w:r w:rsidR="0060197A">
        <w:t>огу на имущество физических лиц</w:t>
      </w:r>
      <w:bookmarkStart w:id="0" w:name="_GoBack"/>
      <w:bookmarkEnd w:id="0"/>
      <w:r w:rsidR="0082712E" w:rsidRPr="00BD3ED4">
        <w:rPr>
          <w:szCs w:val="28"/>
        </w:rPr>
        <w:t>.</w:t>
      </w:r>
      <w:r w:rsidR="0082712E" w:rsidRPr="0082712E">
        <w:rPr>
          <w:color w:val="FF0000"/>
          <w:szCs w:val="28"/>
        </w:rPr>
        <w:t xml:space="preserve"> </w:t>
      </w:r>
    </w:p>
    <w:p w:rsidR="00B27997" w:rsidRPr="0021212B" w:rsidRDefault="00B27997" w:rsidP="00B27997">
      <w:pPr>
        <w:pStyle w:val="1"/>
        <w:ind w:left="0" w:firstLine="708"/>
        <w:jc w:val="both"/>
      </w:pPr>
    </w:p>
    <w:p w:rsidR="00B27997" w:rsidRPr="0021212B" w:rsidRDefault="00B27997" w:rsidP="00B27997">
      <w:pPr>
        <w:pStyle w:val="1"/>
        <w:ind w:left="0" w:firstLine="708"/>
        <w:jc w:val="both"/>
      </w:pPr>
    </w:p>
    <w:p w:rsidR="00B27997" w:rsidRPr="0021212B" w:rsidRDefault="00B27997" w:rsidP="00B27997">
      <w:pPr>
        <w:pStyle w:val="1"/>
        <w:ind w:left="0" w:firstLine="708"/>
        <w:jc w:val="both"/>
      </w:pPr>
    </w:p>
    <w:p w:rsidR="00B27997" w:rsidRPr="0021212B" w:rsidRDefault="00B27997" w:rsidP="00B27997">
      <w:pPr>
        <w:pStyle w:val="a7"/>
        <w:ind w:left="0"/>
        <w:jc w:val="both"/>
      </w:pPr>
      <w:r w:rsidRPr="0021212B">
        <w:t xml:space="preserve">Глава Чайковского сельсовета </w:t>
      </w:r>
    </w:p>
    <w:p w:rsidR="00B27997" w:rsidRPr="0021212B" w:rsidRDefault="00B27997" w:rsidP="00B27997">
      <w:pPr>
        <w:rPr>
          <w:rFonts w:ascii="Times New Roman" w:hAnsi="Times New Roman"/>
          <w:sz w:val="24"/>
          <w:szCs w:val="24"/>
        </w:rPr>
      </w:pPr>
      <w:r w:rsidRPr="0021212B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21212B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21212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212B">
        <w:rPr>
          <w:rFonts w:ascii="Times New Roman" w:hAnsi="Times New Roman"/>
          <w:sz w:val="24"/>
          <w:szCs w:val="24"/>
        </w:rPr>
        <w:t xml:space="preserve">     В. С. Синяков</w:t>
      </w:r>
    </w:p>
    <w:p w:rsidR="00B27997" w:rsidRPr="0021212B" w:rsidRDefault="00B27997" w:rsidP="00B27997">
      <w:pPr>
        <w:ind w:left="708"/>
        <w:rPr>
          <w:rFonts w:ascii="Times New Roman" w:hAnsi="Times New Roman"/>
          <w:sz w:val="24"/>
          <w:szCs w:val="24"/>
        </w:rPr>
      </w:pPr>
    </w:p>
    <w:p w:rsidR="00B27997" w:rsidRPr="0021212B" w:rsidRDefault="00B27997" w:rsidP="00B27997">
      <w:pPr>
        <w:spacing w:before="120"/>
        <w:rPr>
          <w:rFonts w:ascii="Times New Roman" w:hAnsi="Times New Roman"/>
          <w:sz w:val="24"/>
          <w:szCs w:val="24"/>
        </w:rPr>
      </w:pPr>
    </w:p>
    <w:p w:rsidR="0021212B" w:rsidRP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21212B" w:rsidRDefault="0021212B" w:rsidP="0021212B">
      <w:pPr>
        <w:ind w:left="708"/>
        <w:rPr>
          <w:rFonts w:ascii="Times New Roman" w:hAnsi="Times New Roman"/>
          <w:sz w:val="24"/>
          <w:szCs w:val="24"/>
        </w:rPr>
      </w:pPr>
    </w:p>
    <w:p w:rsidR="00A4755C" w:rsidRPr="0021212B" w:rsidRDefault="00A4755C" w:rsidP="0021212B">
      <w:pPr>
        <w:spacing w:before="120"/>
        <w:rPr>
          <w:rFonts w:ascii="Times New Roman" w:hAnsi="Times New Roman"/>
          <w:sz w:val="24"/>
          <w:szCs w:val="24"/>
        </w:rPr>
      </w:pPr>
    </w:p>
    <w:sectPr w:rsidR="00A4755C" w:rsidRPr="0021212B" w:rsidSect="0018223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3A" w:rsidRDefault="003A043A" w:rsidP="00182232">
      <w:r>
        <w:separator/>
      </w:r>
    </w:p>
  </w:endnote>
  <w:endnote w:type="continuationSeparator" w:id="0">
    <w:p w:rsidR="003A043A" w:rsidRDefault="003A043A" w:rsidP="0018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3A" w:rsidRDefault="003A043A" w:rsidP="00182232">
      <w:r>
        <w:separator/>
      </w:r>
    </w:p>
  </w:footnote>
  <w:footnote w:type="continuationSeparator" w:id="0">
    <w:p w:rsidR="003A043A" w:rsidRDefault="003A043A" w:rsidP="0018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232" w:rsidRDefault="003A043A" w:rsidP="000C26EE">
    <w:pPr>
      <w:pStyle w:val="a3"/>
      <w:tabs>
        <w:tab w:val="left" w:pos="8424"/>
      </w:tabs>
      <w:jc w:val="left"/>
    </w:pPr>
    <w:sdt>
      <w:sdtPr>
        <w:id w:val="16477235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="000C26EE">
          <w:tab/>
        </w:r>
        <w:r w:rsidR="009216BA" w:rsidRPr="000C26EE">
          <w:rPr>
            <w:rFonts w:ascii="Times New Roman" w:hAnsi="Times New Roman"/>
            <w:sz w:val="24"/>
            <w:szCs w:val="24"/>
          </w:rPr>
          <w:fldChar w:fldCharType="begin"/>
        </w:r>
        <w:r w:rsidR="00857872" w:rsidRPr="000C26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9216BA" w:rsidRPr="000C26EE">
          <w:rPr>
            <w:rFonts w:ascii="Times New Roman" w:hAnsi="Times New Roman"/>
            <w:sz w:val="24"/>
            <w:szCs w:val="24"/>
          </w:rPr>
          <w:fldChar w:fldCharType="separate"/>
        </w:r>
        <w:r w:rsidR="00497F86">
          <w:rPr>
            <w:rFonts w:ascii="Times New Roman" w:hAnsi="Times New Roman"/>
            <w:noProof/>
            <w:sz w:val="24"/>
            <w:szCs w:val="24"/>
          </w:rPr>
          <w:t>2</w:t>
        </w:r>
        <w:r w:rsidR="009216BA" w:rsidRPr="000C26EE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="000C26EE"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841"/>
    <w:multiLevelType w:val="multilevel"/>
    <w:tmpl w:val="FDE60A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hint="default"/>
      </w:rPr>
    </w:lvl>
  </w:abstractNum>
  <w:abstractNum w:abstractNumId="1">
    <w:nsid w:val="717023B1"/>
    <w:multiLevelType w:val="multilevel"/>
    <w:tmpl w:val="FDE60A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CAB"/>
    <w:rsid w:val="000527B8"/>
    <w:rsid w:val="000A3B0E"/>
    <w:rsid w:val="000C26EE"/>
    <w:rsid w:val="000F600C"/>
    <w:rsid w:val="0018033C"/>
    <w:rsid w:val="00182232"/>
    <w:rsid w:val="001846C0"/>
    <w:rsid w:val="00187B5A"/>
    <w:rsid w:val="001C0C96"/>
    <w:rsid w:val="0021212B"/>
    <w:rsid w:val="00251460"/>
    <w:rsid w:val="00257A9B"/>
    <w:rsid w:val="002F2DAC"/>
    <w:rsid w:val="00331335"/>
    <w:rsid w:val="003A043A"/>
    <w:rsid w:val="00430E64"/>
    <w:rsid w:val="00485FC5"/>
    <w:rsid w:val="00497F86"/>
    <w:rsid w:val="004C4A34"/>
    <w:rsid w:val="00583513"/>
    <w:rsid w:val="005B6E68"/>
    <w:rsid w:val="005C2652"/>
    <w:rsid w:val="0060197A"/>
    <w:rsid w:val="00646690"/>
    <w:rsid w:val="00707658"/>
    <w:rsid w:val="007361BD"/>
    <w:rsid w:val="00750876"/>
    <w:rsid w:val="007D75A3"/>
    <w:rsid w:val="0082712E"/>
    <w:rsid w:val="00831E62"/>
    <w:rsid w:val="00835218"/>
    <w:rsid w:val="00857872"/>
    <w:rsid w:val="008726C6"/>
    <w:rsid w:val="009216BA"/>
    <w:rsid w:val="009377CD"/>
    <w:rsid w:val="00944675"/>
    <w:rsid w:val="00A37D10"/>
    <w:rsid w:val="00A4755C"/>
    <w:rsid w:val="00AA1690"/>
    <w:rsid w:val="00AA5601"/>
    <w:rsid w:val="00AF5F6E"/>
    <w:rsid w:val="00B06154"/>
    <w:rsid w:val="00B16023"/>
    <w:rsid w:val="00B21CAB"/>
    <w:rsid w:val="00B27997"/>
    <w:rsid w:val="00B6521E"/>
    <w:rsid w:val="00B95B0D"/>
    <w:rsid w:val="00BC4B4C"/>
    <w:rsid w:val="00BD3ED4"/>
    <w:rsid w:val="00C139DE"/>
    <w:rsid w:val="00C52BAF"/>
    <w:rsid w:val="00C53E65"/>
    <w:rsid w:val="00C62FB1"/>
    <w:rsid w:val="00CB0C3A"/>
    <w:rsid w:val="00CE154C"/>
    <w:rsid w:val="00D01BEC"/>
    <w:rsid w:val="00D557F6"/>
    <w:rsid w:val="00E00D18"/>
    <w:rsid w:val="00E05D7C"/>
    <w:rsid w:val="00E454E3"/>
    <w:rsid w:val="00EE038D"/>
    <w:rsid w:val="00F31BF8"/>
    <w:rsid w:val="00F42026"/>
    <w:rsid w:val="00F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AB"/>
    <w:pPr>
      <w:spacing w:after="0" w:line="240" w:lineRule="auto"/>
      <w:jc w:val="both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2232"/>
    <w:rPr>
      <w:rFonts w:ascii="Calibri" w:eastAsia="Calibri" w:hAnsi="Calibri" w:cs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182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2232"/>
    <w:rPr>
      <w:rFonts w:ascii="Calibri" w:eastAsia="Calibri" w:hAnsi="Calibri" w:cs="Times New Roman"/>
      <w:sz w:val="28"/>
    </w:rPr>
  </w:style>
  <w:style w:type="paragraph" w:styleId="a7">
    <w:name w:val="List Paragraph"/>
    <w:basedOn w:val="a"/>
    <w:qFormat/>
    <w:rsid w:val="0021212B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21212B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12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21212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E15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15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6586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3848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Наталья Владиславовна</dc:creator>
  <cp:lastModifiedBy>USER</cp:lastModifiedBy>
  <cp:revision>4</cp:revision>
  <cp:lastPrinted>2018-11-27T03:03:00Z</cp:lastPrinted>
  <dcterms:created xsi:type="dcterms:W3CDTF">2018-11-27T02:42:00Z</dcterms:created>
  <dcterms:modified xsi:type="dcterms:W3CDTF">2018-11-27T03:07:00Z</dcterms:modified>
</cp:coreProperties>
</file>