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0" w:rsidRPr="00923B90" w:rsidRDefault="00923B90" w:rsidP="00923B90">
      <w:pPr>
        <w:spacing w:after="0"/>
        <w:ind w:right="-850"/>
        <w:rPr>
          <w:rFonts w:ascii="Times New Roman" w:hAnsi="Times New Roman" w:cs="Times New Roman"/>
          <w:bCs/>
          <w:iCs/>
          <w:sz w:val="24"/>
          <w:szCs w:val="24"/>
        </w:rPr>
      </w:pPr>
      <w:r w:rsidRPr="00923B9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923B90">
        <w:rPr>
          <w:rFonts w:ascii="Times New Roman" w:hAnsi="Times New Roman" w:cs="Times New Roman"/>
          <w:bCs/>
          <w:iCs/>
          <w:sz w:val="24"/>
          <w:szCs w:val="24"/>
        </w:rPr>
        <w:t xml:space="preserve">   КРАСНОЯРСКИЙ КРАЙ</w:t>
      </w:r>
    </w:p>
    <w:p w:rsidR="00923B90" w:rsidRPr="00923B90" w:rsidRDefault="00923B90" w:rsidP="00923B90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23B90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923B90" w:rsidRPr="00923B90" w:rsidRDefault="00923B90" w:rsidP="00923B90">
      <w:pPr>
        <w:pStyle w:val="af3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ЧАЙКОВСКИЙ СЕЛЬСОВЕТ</w:t>
      </w:r>
    </w:p>
    <w:p w:rsidR="00923B90" w:rsidRPr="00923B90" w:rsidRDefault="00923B90" w:rsidP="00923B90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923B90" w:rsidRPr="00923B90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923B90" w:rsidRDefault="00923B90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56B78">
        <w:rPr>
          <w:rFonts w:ascii="Times New Roman" w:hAnsi="Times New Roman" w:cs="Times New Roman"/>
          <w:sz w:val="24"/>
          <w:szCs w:val="24"/>
        </w:rPr>
        <w:t xml:space="preserve">                        РЕШЕНИЕ</w:t>
      </w:r>
    </w:p>
    <w:p w:rsidR="00923B90" w:rsidRPr="00923B90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923B90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923B90" w:rsidRDefault="00956B78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20 декабря 2023</w:t>
      </w:r>
      <w:r w:rsidR="00923B90" w:rsidRPr="00923B9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23B90" w:rsidRPr="00923B90">
        <w:rPr>
          <w:rFonts w:ascii="Times New Roman" w:hAnsi="Times New Roman" w:cs="Times New Roman"/>
          <w:sz w:val="24"/>
          <w:szCs w:val="24"/>
        </w:rPr>
        <w:t xml:space="preserve"> пос. Чайковский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3B90" w:rsidRPr="00923B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23B90" w:rsidRPr="00923B9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34-162</w:t>
      </w:r>
    </w:p>
    <w:p w:rsidR="00923B90" w:rsidRPr="00923B90" w:rsidRDefault="00923B90" w:rsidP="00923B90">
      <w:pPr>
        <w:spacing w:after="0" w:line="25" w:lineRule="atLeast"/>
        <w:ind w:left="-18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ab/>
      </w:r>
      <w:r w:rsidRPr="00923B90">
        <w:rPr>
          <w:rFonts w:ascii="Times New Roman" w:hAnsi="Times New Roman" w:cs="Times New Roman"/>
          <w:sz w:val="24"/>
          <w:szCs w:val="24"/>
        </w:rPr>
        <w:tab/>
      </w:r>
      <w:r w:rsidRPr="00923B90">
        <w:rPr>
          <w:rFonts w:ascii="Times New Roman" w:hAnsi="Times New Roman" w:cs="Times New Roman"/>
          <w:sz w:val="24"/>
          <w:szCs w:val="24"/>
        </w:rPr>
        <w:tab/>
      </w:r>
      <w:r w:rsidRPr="00923B90">
        <w:rPr>
          <w:rFonts w:ascii="Times New Roman" w:hAnsi="Times New Roman" w:cs="Times New Roman"/>
          <w:sz w:val="24"/>
          <w:szCs w:val="24"/>
        </w:rPr>
        <w:tab/>
      </w:r>
    </w:p>
    <w:p w:rsidR="00923B90" w:rsidRPr="00923B90" w:rsidRDefault="00923B90" w:rsidP="00923B90">
      <w:pPr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 Чайковского   сельского Совета депутатов от 28.08.2017 №  17-63 «Об утверждении Положения о бюджетном процессе в Чайковском сельсовете»</w:t>
      </w:r>
    </w:p>
    <w:p w:rsidR="00923B90" w:rsidRPr="00923B90" w:rsidRDefault="00923B90" w:rsidP="00923B90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923B90" w:rsidRPr="00923B90" w:rsidRDefault="00923B90" w:rsidP="00923B90">
      <w:pPr>
        <w:pStyle w:val="ConsPlusTitle"/>
        <w:widowControl/>
        <w:spacing w:line="25" w:lineRule="atLeast"/>
        <w:ind w:left="-180" w:firstLine="46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B90">
        <w:rPr>
          <w:rFonts w:ascii="Times New Roman" w:hAnsi="Times New Roman" w:cs="Times New Roman"/>
          <w:b w:val="0"/>
          <w:sz w:val="24"/>
          <w:szCs w:val="24"/>
        </w:rPr>
        <w:t xml:space="preserve">    На основании Федерального закона от 06.10.2003 № 131-ФЗ «Об общих принципах организации местного самоуправления в Российской Федерации», статьей 9 Бюджетного кодекса Российской Федерации, руководствуясь  Уставом Чайковского сельсовета </w:t>
      </w:r>
      <w:proofErr w:type="spellStart"/>
      <w:r w:rsidRPr="00923B90"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 w:rsidRPr="00923B90">
        <w:rPr>
          <w:rFonts w:ascii="Times New Roman" w:hAnsi="Times New Roman" w:cs="Times New Roman"/>
          <w:b w:val="0"/>
          <w:sz w:val="24"/>
          <w:szCs w:val="24"/>
        </w:rPr>
        <w:t xml:space="preserve"> района Красноярского края,  Чайковский сельский Совет депутатов  РЕШИЛ:</w:t>
      </w:r>
    </w:p>
    <w:p w:rsidR="00923B90" w:rsidRPr="00923B90" w:rsidRDefault="00923B90" w:rsidP="00923B90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3B90" w:rsidRPr="00923B90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 xml:space="preserve">         1. Внести в Положение, утвержденное решением Чайковского сельского Совета депутатов от  28.08.2017 №  17-63 «Об утверждении Положения о бюджетном процессе в Чайковском сельсовете» (в редакции решения от 25.08.2022 № 22-105, от 29.09.2023 № 32-146) следующие изменения:</w:t>
      </w:r>
    </w:p>
    <w:p w:rsidR="00923B90" w:rsidRPr="00923B90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 xml:space="preserve">         1.1. Абзац 2 части 1 статьи 8 Положения изложить в следующей редакции:</w:t>
      </w:r>
    </w:p>
    <w:p w:rsidR="00923B90" w:rsidRPr="00923B90" w:rsidRDefault="00923B90" w:rsidP="00923B90">
      <w:pPr>
        <w:spacing w:after="0" w:line="25" w:lineRule="atLeast"/>
        <w:ind w:left="-180" w:firstLine="889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>«Размер резервного фонда администрации поселения устанавливается решением представительного органа поселения о местном бюджете</w:t>
      </w:r>
      <w:proofErr w:type="gramStart"/>
      <w:r w:rsidRPr="00923B90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23B90" w:rsidRPr="00923B90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 xml:space="preserve">           1.2. В  статье 13 главы 2 Положения:</w:t>
      </w:r>
    </w:p>
    <w:p w:rsidR="00923B90" w:rsidRPr="00923B90" w:rsidRDefault="00923B90" w:rsidP="00923B90">
      <w:pPr>
        <w:spacing w:after="0" w:line="25" w:lineRule="atLeast"/>
        <w:ind w:left="-180" w:firstLine="889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 xml:space="preserve">- в части 2 слова «с утвердившим программу муниципальным правовым актом местной администрации муниципального образования» заменить словами «с перечнем и структурой муниципальных программ, </w:t>
      </w:r>
      <w:proofErr w:type="gramStart"/>
      <w:r w:rsidRPr="00923B90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923B90">
        <w:rPr>
          <w:rFonts w:ascii="Times New Roman" w:hAnsi="Times New Roman" w:cs="Times New Roman"/>
          <w:sz w:val="24"/>
          <w:szCs w:val="24"/>
        </w:rPr>
        <w:t xml:space="preserve"> администрацией Чайковского сельсовета.»;</w:t>
      </w:r>
    </w:p>
    <w:p w:rsidR="00923B90" w:rsidRPr="00923B90" w:rsidRDefault="00923B90" w:rsidP="00923B90">
      <w:pPr>
        <w:spacing w:after="0" w:line="25" w:lineRule="atLeast"/>
        <w:ind w:left="-180" w:firstLine="889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>- в абзаце первом части 3 слова «в сроки, установленные» заменить словами «в порядке и сроки, которые установлены»;</w:t>
      </w:r>
    </w:p>
    <w:p w:rsidR="00923B90" w:rsidRPr="00923B90" w:rsidRDefault="00923B90" w:rsidP="00923B90">
      <w:pPr>
        <w:spacing w:after="0" w:line="25" w:lineRule="atLeast"/>
        <w:ind w:left="-180" w:firstLine="889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>- в абзаце втором части слова «не позднее трех месяцев со дня вступления его в силу» заменить словами «не позднее 1 апреля текущего финансового года</w:t>
      </w:r>
      <w:proofErr w:type="gramStart"/>
      <w:r w:rsidRPr="00923B9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23B90" w:rsidRPr="00923B90" w:rsidRDefault="00923B90" w:rsidP="00923B90">
      <w:pPr>
        <w:autoSpaceDE w:val="0"/>
        <w:autoSpaceDN w:val="0"/>
        <w:spacing w:after="0"/>
        <w:ind w:left="-142" w:firstLine="889"/>
        <w:jc w:val="both"/>
        <w:rPr>
          <w:rFonts w:ascii="Times New Roman" w:hAnsi="Times New Roman" w:cs="Times New Roman"/>
          <w:sz w:val="24"/>
          <w:szCs w:val="24"/>
        </w:rPr>
      </w:pPr>
      <w:r w:rsidRPr="00923B90">
        <w:rPr>
          <w:rFonts w:ascii="Times New Roman" w:hAnsi="Times New Roman" w:cs="Times New Roman"/>
          <w:sz w:val="24"/>
          <w:szCs w:val="24"/>
        </w:rPr>
        <w:t>1.3. Статью 14 Положения исключить.</w:t>
      </w:r>
    </w:p>
    <w:p w:rsidR="00923B90" w:rsidRPr="00923B90" w:rsidRDefault="00923B90" w:rsidP="00923B90">
      <w:pPr>
        <w:autoSpaceDE w:val="0"/>
        <w:autoSpaceDN w:val="0"/>
        <w:spacing w:after="0"/>
        <w:ind w:left="-142" w:firstLine="8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923B90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 по бюджету, финансам, налогам и сборам (председатель Ефремова Л. И.).</w:t>
      </w:r>
    </w:p>
    <w:p w:rsidR="00923B90" w:rsidRPr="00923B90" w:rsidRDefault="00923B90" w:rsidP="00923B90">
      <w:pPr>
        <w:autoSpaceDE w:val="0"/>
        <w:autoSpaceDN w:val="0"/>
        <w:adjustRightInd w:val="0"/>
        <w:spacing w:before="6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в общественно-политической газете «Земля </w:t>
      </w:r>
      <w:proofErr w:type="spellStart"/>
      <w:r w:rsidRPr="00923B90">
        <w:rPr>
          <w:rFonts w:ascii="Times New Roman" w:eastAsia="Calibri" w:hAnsi="Times New Roman" w:cs="Times New Roman"/>
          <w:sz w:val="24"/>
          <w:szCs w:val="24"/>
        </w:rPr>
        <w:t>Боготольская</w:t>
      </w:r>
      <w:proofErr w:type="spellEnd"/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923B90">
        <w:rPr>
          <w:rFonts w:ascii="Times New Roman" w:eastAsia="Calibri" w:hAnsi="Times New Roman" w:cs="Times New Roman"/>
          <w:sz w:val="24"/>
          <w:szCs w:val="24"/>
        </w:rPr>
        <w:t>Боготольского</w:t>
      </w:r>
      <w:proofErr w:type="spellEnd"/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 района в сети Интернет  </w:t>
      </w:r>
      <w:hyperlink r:id="rId8" w:history="1">
        <w:r w:rsidRPr="00923B90">
          <w:rPr>
            <w:rFonts w:ascii="Times New Roman" w:eastAsia="Calibri" w:hAnsi="Times New Roman" w:cs="Times New Roman"/>
            <w:sz w:val="24"/>
            <w:szCs w:val="24"/>
          </w:rPr>
          <w:t>www.bogotol-r.ru</w:t>
        </w:r>
      </w:hyperlink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 на странице Чайковского сельсовета.</w:t>
      </w:r>
    </w:p>
    <w:p w:rsidR="00923B90" w:rsidRPr="00923B90" w:rsidRDefault="00923B90" w:rsidP="00923B90">
      <w:pPr>
        <w:autoSpaceDE w:val="0"/>
        <w:autoSpaceDN w:val="0"/>
        <w:adjustRightInd w:val="0"/>
        <w:spacing w:before="60"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 xml:space="preserve">4. Настоящее Решение вступает в силу в день, следующий за днем его официального опубликования. </w:t>
      </w: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Глава Чайковского сельсовета</w:t>
      </w:r>
    </w:p>
    <w:p w:rsidR="00DC6DBB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Председатель Чайковского  сельского Совета депутатов                                   Муратов Г.Ф.</w:t>
      </w:r>
    </w:p>
    <w:p w:rsidR="00DC6DBB" w:rsidRPr="003100B1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3100B1">
      <w:pPr>
        <w:pStyle w:val="1"/>
        <w:ind w:left="5387" w:right="0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DD73C9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956B78" w:rsidRDefault="00DD73C9" w:rsidP="00DC682D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DC682D" w:rsidRDefault="00956B78" w:rsidP="00956B78">
      <w:pPr>
        <w:pStyle w:val="1"/>
        <w:ind w:left="538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от 20.12.2023 №34-162                            </w:t>
      </w:r>
    </w:p>
    <w:p w:rsidR="006F3CB8" w:rsidRPr="006F3CB8" w:rsidRDefault="006F3CB8" w:rsidP="006F3CB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="00AA1383">
        <w:rPr>
          <w:rFonts w:ascii="Times New Roman" w:hAnsi="Times New Roman" w:cs="Times New Roman"/>
          <w:sz w:val="24"/>
          <w:szCs w:val="24"/>
          <w:lang w:eastAsia="ru-RU"/>
        </w:rPr>
        <w:t>от 29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.09.</w:t>
      </w:r>
      <w:r w:rsidR="00146ABD">
        <w:rPr>
          <w:rFonts w:ascii="Times New Roman" w:hAnsi="Times New Roman" w:cs="Times New Roman"/>
          <w:sz w:val="24"/>
          <w:szCs w:val="24"/>
          <w:lang w:eastAsia="ru-RU"/>
        </w:rPr>
        <w:t xml:space="preserve"> 2023 № 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32-146</w:t>
      </w:r>
    </w:p>
    <w:p w:rsidR="00EB18D0" w:rsidRPr="00EB18D0" w:rsidRDefault="00EB18D0" w:rsidP="006F3CB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849C8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>.08.2022 № 22-10</w:t>
      </w:r>
      <w:r w:rsidR="00941BE6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884E15" w:rsidRPr="00884E15" w:rsidRDefault="00884E15" w:rsidP="006F3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DD73C9">
      <w:pPr>
        <w:pStyle w:val="1"/>
        <w:ind w:left="0" w:right="0"/>
        <w:jc w:val="lef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осуществления бюджетных полномочий главных администраторов доходов бюджетной системы Российской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проведения оценки эффективности реализации муниципальных программ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0D3FED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956B78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923B90" w:rsidRPr="00165505" w:rsidRDefault="00923B90" w:rsidP="00165505">
      <w:pPr>
        <w:pStyle w:val="a7"/>
        <w:numPr>
          <w:ilvl w:val="0"/>
          <w:numId w:val="7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5505">
        <w:rPr>
          <w:rFonts w:ascii="Times New Roman" w:hAnsi="Times New Roman" w:cs="Times New Roman"/>
          <w:sz w:val="24"/>
          <w:szCs w:val="24"/>
        </w:rPr>
        <w:t>Размер резервного фонда администрации поселения устанавливается решением представительного орга</w:t>
      </w:r>
      <w:r w:rsidR="00165505">
        <w:rPr>
          <w:rFonts w:ascii="Times New Roman" w:hAnsi="Times New Roman" w:cs="Times New Roman"/>
          <w:sz w:val="24"/>
          <w:szCs w:val="24"/>
        </w:rPr>
        <w:t>на поселения о местном бюджете.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C32FC6" w:rsidRPr="00380613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Муниципальный долг - обязательства, возникающие из государственных (муниципальных) заимствований, гарантий по обязательствам третьих лиц, другие </w:t>
      </w:r>
      <w:r w:rsidRPr="00380613">
        <w:rPr>
          <w:rFonts w:ascii="Times New Roman" w:hAnsi="Times New Roman" w:cs="Times New Roman"/>
          <w:sz w:val="24"/>
          <w:szCs w:val="24"/>
        </w:rPr>
        <w:lastRenderedPageBreak/>
        <w:t>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существовать в виде обязательств по: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4)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гарантий, выраженных в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477E8C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2)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C32FC6" w:rsidRPr="004F2273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</w:t>
      </w:r>
      <w:r w:rsidRPr="004F2273">
        <w:rPr>
          <w:rFonts w:ascii="Times New Roman" w:hAnsi="Times New Roman" w:cs="Times New Roman"/>
          <w:sz w:val="24"/>
          <w:szCs w:val="24"/>
        </w:rPr>
        <w:lastRenderedPageBreak/>
        <w:t>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Pr="00B55492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</w:t>
      </w:r>
      <w:r w:rsidRPr="00C32FC6">
        <w:rPr>
          <w:rFonts w:ascii="Times New Roman" w:hAnsi="Times New Roman" w:cs="Times New Roman"/>
          <w:sz w:val="24"/>
          <w:szCs w:val="24"/>
        </w:rPr>
        <w:lastRenderedPageBreak/>
        <w:t xml:space="preserve">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Составление проектов бюджетов основывается на: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ED060E" w:rsidRPr="000D3FED" w:rsidRDefault="00ED060E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 </w:t>
      </w:r>
      <w:proofErr w:type="gramStart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>прогнозе</w:t>
      </w:r>
      <w:proofErr w:type="gramEnd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923B90" w:rsidRPr="00956B78" w:rsidRDefault="009B3C7B" w:rsidP="009B3C7B">
      <w:pPr>
        <w:spacing w:after="0" w:line="25" w:lineRule="atLeast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44F7" w:rsidRPr="00C32FC6">
        <w:rPr>
          <w:rFonts w:ascii="Times New Roman" w:hAnsi="Times New Roman" w:cs="Times New Roman"/>
          <w:sz w:val="24"/>
          <w:szCs w:val="24"/>
        </w:rPr>
        <w:t>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</w:t>
      </w:r>
      <w:r w:rsidR="00CA44F7" w:rsidRPr="00956B78">
        <w:rPr>
          <w:rFonts w:ascii="Times New Roman" w:hAnsi="Times New Roman" w:cs="Times New Roman"/>
          <w:sz w:val="24"/>
          <w:szCs w:val="24"/>
        </w:rPr>
        <w:t xml:space="preserve">рограмме целевой статье расходов местного бюджета в соответствии </w:t>
      </w:r>
      <w:r w:rsidR="00923B90" w:rsidRPr="00956B78">
        <w:rPr>
          <w:rFonts w:ascii="Times New Roman" w:hAnsi="Times New Roman" w:cs="Times New Roman"/>
          <w:sz w:val="24"/>
          <w:szCs w:val="24"/>
        </w:rPr>
        <w:t xml:space="preserve">с перечнем и </w:t>
      </w:r>
      <w:r w:rsidR="00923B90" w:rsidRPr="00956B78">
        <w:rPr>
          <w:rFonts w:ascii="Times New Roman" w:hAnsi="Times New Roman" w:cs="Times New Roman"/>
          <w:sz w:val="24"/>
          <w:szCs w:val="24"/>
        </w:rPr>
        <w:lastRenderedPageBreak/>
        <w:t>структурой муниципальных программ, определенными админист</w:t>
      </w:r>
      <w:r w:rsidR="00165505">
        <w:rPr>
          <w:rFonts w:ascii="Times New Roman" w:hAnsi="Times New Roman" w:cs="Times New Roman"/>
          <w:sz w:val="24"/>
          <w:szCs w:val="24"/>
        </w:rPr>
        <w:t>рацией Чайковского сельсовета.</w:t>
      </w:r>
    </w:p>
    <w:p w:rsidR="00CA44F7" w:rsidRPr="00956B78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</w:t>
      </w:r>
      <w:r w:rsidR="009B3C7B" w:rsidRPr="00956B78">
        <w:rPr>
          <w:rFonts w:ascii="Times New Roman" w:hAnsi="Times New Roman" w:cs="Times New Roman"/>
          <w:sz w:val="24"/>
          <w:szCs w:val="24"/>
        </w:rPr>
        <w:t xml:space="preserve">в порядке и сроки, которые установлены </w:t>
      </w:r>
      <w:r w:rsidRPr="00956B78">
        <w:rPr>
          <w:rFonts w:ascii="Times New Roman" w:hAnsi="Times New Roman" w:cs="Times New Roman"/>
          <w:sz w:val="24"/>
          <w:szCs w:val="24"/>
        </w:rPr>
        <w:t>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Муниципальные программы подлежат приведению в соответствие с решением о местном бюджете </w:t>
      </w:r>
      <w:r w:rsidR="009B3C7B" w:rsidRPr="00956B78">
        <w:rPr>
          <w:rFonts w:ascii="Times New Roman" w:hAnsi="Times New Roman" w:cs="Times New Roman"/>
          <w:sz w:val="24"/>
          <w:szCs w:val="24"/>
        </w:rPr>
        <w:t>не позднее 1 апреля текущего финансового года</w:t>
      </w:r>
      <w:r w:rsidRPr="00956B78">
        <w:rPr>
          <w:rFonts w:ascii="Times New Roman" w:hAnsi="Times New Roman" w:cs="Times New Roman"/>
          <w:sz w:val="24"/>
          <w:szCs w:val="24"/>
        </w:rPr>
        <w:t>.</w:t>
      </w:r>
    </w:p>
    <w:p w:rsidR="00CA44F7" w:rsidRPr="00C32FC6" w:rsidRDefault="009B3C7B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4F7" w:rsidRPr="00C32FC6">
        <w:rPr>
          <w:rFonts w:ascii="Times New Roman" w:hAnsi="Times New Roman" w:cs="Times New Roman"/>
          <w:sz w:val="24"/>
          <w:szCs w:val="24"/>
        </w:rPr>
        <w:t xml:space="preserve">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(профицит)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</w:t>
      </w:r>
      <w:r w:rsidRPr="000D3FED">
        <w:rPr>
          <w:rFonts w:ascii="Times New Roman" w:hAnsi="Times New Roman" w:cs="Times New Roman"/>
          <w:sz w:val="24"/>
          <w:szCs w:val="24"/>
        </w:rPr>
        <w:lastRenderedPageBreak/>
        <w:t>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видов 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B4" w:rsidRDefault="00E61BB4" w:rsidP="000F2B3C">
      <w:pPr>
        <w:spacing w:after="0" w:line="240" w:lineRule="auto"/>
      </w:pPr>
      <w:r>
        <w:separator/>
      </w:r>
    </w:p>
  </w:endnote>
  <w:endnote w:type="continuationSeparator" w:id="0">
    <w:p w:rsidR="00E61BB4" w:rsidRDefault="00E61BB4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C67044" w:rsidRDefault="001708FD">
        <w:pPr>
          <w:pStyle w:val="aa"/>
          <w:jc w:val="center"/>
        </w:pPr>
        <w:r>
          <w:fldChar w:fldCharType="begin"/>
        </w:r>
        <w:r w:rsidR="00C67044">
          <w:instrText>PAGE   \* MERGEFORMAT</w:instrText>
        </w:r>
        <w:r>
          <w:fldChar w:fldCharType="separate"/>
        </w:r>
        <w:r w:rsidR="00F32636">
          <w:rPr>
            <w:noProof/>
          </w:rPr>
          <w:t>1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B4" w:rsidRDefault="00E61BB4" w:rsidP="000F2B3C">
      <w:pPr>
        <w:spacing w:after="0" w:line="240" w:lineRule="auto"/>
      </w:pPr>
      <w:r>
        <w:separator/>
      </w:r>
    </w:p>
  </w:footnote>
  <w:footnote w:type="continuationSeparator" w:id="0">
    <w:p w:rsidR="00E61BB4" w:rsidRDefault="00E61BB4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87" w:rsidRDefault="001708FD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21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2484"/>
    <w:rsid w:val="0007368E"/>
    <w:rsid w:val="00090979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6ABD"/>
    <w:rsid w:val="00147192"/>
    <w:rsid w:val="00157E6D"/>
    <w:rsid w:val="00165505"/>
    <w:rsid w:val="001708FD"/>
    <w:rsid w:val="00172D63"/>
    <w:rsid w:val="00174C45"/>
    <w:rsid w:val="00183DC2"/>
    <w:rsid w:val="001A305B"/>
    <w:rsid w:val="001A49AF"/>
    <w:rsid w:val="001D006C"/>
    <w:rsid w:val="001D2416"/>
    <w:rsid w:val="001D2AEB"/>
    <w:rsid w:val="001D62DE"/>
    <w:rsid w:val="001E60ED"/>
    <w:rsid w:val="00201DAA"/>
    <w:rsid w:val="002032B4"/>
    <w:rsid w:val="002332BC"/>
    <w:rsid w:val="0026704D"/>
    <w:rsid w:val="00280BD4"/>
    <w:rsid w:val="00282A9A"/>
    <w:rsid w:val="00295B10"/>
    <w:rsid w:val="002A546A"/>
    <w:rsid w:val="002B1C01"/>
    <w:rsid w:val="002B5F6E"/>
    <w:rsid w:val="002C031B"/>
    <w:rsid w:val="002F1AF7"/>
    <w:rsid w:val="003056FD"/>
    <w:rsid w:val="003100B1"/>
    <w:rsid w:val="0031430B"/>
    <w:rsid w:val="00325002"/>
    <w:rsid w:val="00325D36"/>
    <w:rsid w:val="0033358D"/>
    <w:rsid w:val="003348E6"/>
    <w:rsid w:val="00336E9F"/>
    <w:rsid w:val="00346787"/>
    <w:rsid w:val="003620F5"/>
    <w:rsid w:val="00380613"/>
    <w:rsid w:val="00393922"/>
    <w:rsid w:val="00395B15"/>
    <w:rsid w:val="003A22BC"/>
    <w:rsid w:val="003B22CD"/>
    <w:rsid w:val="003B3CC4"/>
    <w:rsid w:val="003B59CE"/>
    <w:rsid w:val="003E6C17"/>
    <w:rsid w:val="003F5B53"/>
    <w:rsid w:val="003F7667"/>
    <w:rsid w:val="003F78CF"/>
    <w:rsid w:val="00402B19"/>
    <w:rsid w:val="00403FC6"/>
    <w:rsid w:val="00405795"/>
    <w:rsid w:val="0042208B"/>
    <w:rsid w:val="00426E69"/>
    <w:rsid w:val="004703C4"/>
    <w:rsid w:val="00477E8C"/>
    <w:rsid w:val="00481BB9"/>
    <w:rsid w:val="00485F88"/>
    <w:rsid w:val="0048675D"/>
    <w:rsid w:val="004B2AC2"/>
    <w:rsid w:val="004B2CFC"/>
    <w:rsid w:val="004C6C8B"/>
    <w:rsid w:val="004E4EC6"/>
    <w:rsid w:val="004F2273"/>
    <w:rsid w:val="00501402"/>
    <w:rsid w:val="00503BF2"/>
    <w:rsid w:val="005234C1"/>
    <w:rsid w:val="005325D8"/>
    <w:rsid w:val="0055159C"/>
    <w:rsid w:val="0055454C"/>
    <w:rsid w:val="005603A1"/>
    <w:rsid w:val="00567FD2"/>
    <w:rsid w:val="00571BAA"/>
    <w:rsid w:val="00573DEC"/>
    <w:rsid w:val="00580B16"/>
    <w:rsid w:val="00594792"/>
    <w:rsid w:val="00596700"/>
    <w:rsid w:val="005A07F8"/>
    <w:rsid w:val="005C4A05"/>
    <w:rsid w:val="005D324C"/>
    <w:rsid w:val="005D6143"/>
    <w:rsid w:val="005E1FB9"/>
    <w:rsid w:val="005F7CED"/>
    <w:rsid w:val="00601B3F"/>
    <w:rsid w:val="006020BA"/>
    <w:rsid w:val="0060439F"/>
    <w:rsid w:val="00626208"/>
    <w:rsid w:val="00631230"/>
    <w:rsid w:val="0063402F"/>
    <w:rsid w:val="00641BE1"/>
    <w:rsid w:val="00641E7E"/>
    <w:rsid w:val="00653C2E"/>
    <w:rsid w:val="00657075"/>
    <w:rsid w:val="006647F4"/>
    <w:rsid w:val="00672CEF"/>
    <w:rsid w:val="00675B01"/>
    <w:rsid w:val="006A4DB3"/>
    <w:rsid w:val="006C47F2"/>
    <w:rsid w:val="006C76FB"/>
    <w:rsid w:val="006E67D6"/>
    <w:rsid w:val="006F0779"/>
    <w:rsid w:val="006F3CB8"/>
    <w:rsid w:val="006F6F34"/>
    <w:rsid w:val="007004A0"/>
    <w:rsid w:val="00711A34"/>
    <w:rsid w:val="00716DFD"/>
    <w:rsid w:val="0072236A"/>
    <w:rsid w:val="007256A4"/>
    <w:rsid w:val="007416E0"/>
    <w:rsid w:val="0077217F"/>
    <w:rsid w:val="00785740"/>
    <w:rsid w:val="007962E0"/>
    <w:rsid w:val="007A0206"/>
    <w:rsid w:val="007A6F06"/>
    <w:rsid w:val="007D5C86"/>
    <w:rsid w:val="008004DD"/>
    <w:rsid w:val="00801A76"/>
    <w:rsid w:val="00820CC3"/>
    <w:rsid w:val="00822520"/>
    <w:rsid w:val="00823D79"/>
    <w:rsid w:val="00831FC1"/>
    <w:rsid w:val="00840080"/>
    <w:rsid w:val="0085023B"/>
    <w:rsid w:val="00854F24"/>
    <w:rsid w:val="00884E15"/>
    <w:rsid w:val="008A4931"/>
    <w:rsid w:val="008B5109"/>
    <w:rsid w:val="008F1EEF"/>
    <w:rsid w:val="008F7A82"/>
    <w:rsid w:val="00900BA4"/>
    <w:rsid w:val="00904B6C"/>
    <w:rsid w:val="00921C4A"/>
    <w:rsid w:val="00923729"/>
    <w:rsid w:val="00923B90"/>
    <w:rsid w:val="00941BE6"/>
    <w:rsid w:val="0094267B"/>
    <w:rsid w:val="0094767E"/>
    <w:rsid w:val="00956B78"/>
    <w:rsid w:val="009578AD"/>
    <w:rsid w:val="00963B49"/>
    <w:rsid w:val="009675FF"/>
    <w:rsid w:val="009753DB"/>
    <w:rsid w:val="00980DCC"/>
    <w:rsid w:val="009849C8"/>
    <w:rsid w:val="00996AD1"/>
    <w:rsid w:val="009B3C7B"/>
    <w:rsid w:val="009C0376"/>
    <w:rsid w:val="009C0EF7"/>
    <w:rsid w:val="00A01307"/>
    <w:rsid w:val="00A01C42"/>
    <w:rsid w:val="00A0454B"/>
    <w:rsid w:val="00A24A50"/>
    <w:rsid w:val="00A34EDD"/>
    <w:rsid w:val="00A65011"/>
    <w:rsid w:val="00A717A1"/>
    <w:rsid w:val="00A82D37"/>
    <w:rsid w:val="00AA1383"/>
    <w:rsid w:val="00AC264C"/>
    <w:rsid w:val="00AD182C"/>
    <w:rsid w:val="00AD4E10"/>
    <w:rsid w:val="00AF25DD"/>
    <w:rsid w:val="00AF4844"/>
    <w:rsid w:val="00AF55D1"/>
    <w:rsid w:val="00AF70CF"/>
    <w:rsid w:val="00B13512"/>
    <w:rsid w:val="00B309C2"/>
    <w:rsid w:val="00B33DBF"/>
    <w:rsid w:val="00B40F79"/>
    <w:rsid w:val="00B44D46"/>
    <w:rsid w:val="00B55492"/>
    <w:rsid w:val="00B56B84"/>
    <w:rsid w:val="00B733DA"/>
    <w:rsid w:val="00B746AE"/>
    <w:rsid w:val="00B811F1"/>
    <w:rsid w:val="00BA1C16"/>
    <w:rsid w:val="00BA21D3"/>
    <w:rsid w:val="00BA3F2B"/>
    <w:rsid w:val="00BB11CD"/>
    <w:rsid w:val="00BC158F"/>
    <w:rsid w:val="00BC26E2"/>
    <w:rsid w:val="00BC2A08"/>
    <w:rsid w:val="00BC58B5"/>
    <w:rsid w:val="00BD1896"/>
    <w:rsid w:val="00BE53EE"/>
    <w:rsid w:val="00BF51D9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B3423"/>
    <w:rsid w:val="00D01B98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C3F7D"/>
    <w:rsid w:val="00DC682D"/>
    <w:rsid w:val="00DC6DBB"/>
    <w:rsid w:val="00DD412E"/>
    <w:rsid w:val="00DD65A7"/>
    <w:rsid w:val="00DD6D4B"/>
    <w:rsid w:val="00DD73C9"/>
    <w:rsid w:val="00DF071A"/>
    <w:rsid w:val="00DF0E7B"/>
    <w:rsid w:val="00DF1F95"/>
    <w:rsid w:val="00E105B8"/>
    <w:rsid w:val="00E173CA"/>
    <w:rsid w:val="00E2137A"/>
    <w:rsid w:val="00E36B56"/>
    <w:rsid w:val="00E61BB4"/>
    <w:rsid w:val="00E628BB"/>
    <w:rsid w:val="00E67F13"/>
    <w:rsid w:val="00E70716"/>
    <w:rsid w:val="00E71EBD"/>
    <w:rsid w:val="00E82A0C"/>
    <w:rsid w:val="00E85F84"/>
    <w:rsid w:val="00EA5E21"/>
    <w:rsid w:val="00EB18D0"/>
    <w:rsid w:val="00ED060E"/>
    <w:rsid w:val="00ED5D46"/>
    <w:rsid w:val="00EF1FDA"/>
    <w:rsid w:val="00F06E30"/>
    <w:rsid w:val="00F14733"/>
    <w:rsid w:val="00F1518D"/>
    <w:rsid w:val="00F27816"/>
    <w:rsid w:val="00F3086D"/>
    <w:rsid w:val="00F32636"/>
    <w:rsid w:val="00F37DA4"/>
    <w:rsid w:val="00F404F8"/>
    <w:rsid w:val="00F47640"/>
    <w:rsid w:val="00F6331C"/>
    <w:rsid w:val="00F67FEE"/>
    <w:rsid w:val="00F72E09"/>
    <w:rsid w:val="00F757C4"/>
    <w:rsid w:val="00F94F7B"/>
    <w:rsid w:val="00F96860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link w:val="af4"/>
    <w:qFormat/>
    <w:rsid w:val="00B40F79"/>
    <w:pPr>
      <w:spacing w:after="0" w:line="240" w:lineRule="auto"/>
    </w:pPr>
  </w:style>
  <w:style w:type="paragraph" w:customStyle="1" w:styleId="ConsPlusTitle">
    <w:name w:val="ConsPlusTitle"/>
    <w:rsid w:val="00DC6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923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DDC7-0A85-4437-88B7-991D1666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5187</Words>
  <Characters>29571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8</cp:revision>
  <cp:lastPrinted>2023-12-18T02:14:00Z</cp:lastPrinted>
  <dcterms:created xsi:type="dcterms:W3CDTF">2023-12-15T01:22:00Z</dcterms:created>
  <dcterms:modified xsi:type="dcterms:W3CDTF">2023-12-18T02:32:00Z</dcterms:modified>
</cp:coreProperties>
</file>