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Pr="009328BD" w:rsidRDefault="00B67E47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Администрация Боготольского сельсовета</w:t>
      </w:r>
      <w:r w:rsidR="008A165C" w:rsidRPr="00932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65C" w:rsidRPr="009328BD" w:rsidRDefault="00B67E47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8A165C" w:rsidRPr="009328BD" w:rsidRDefault="00B67E47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A165C" w:rsidRPr="009328BD" w:rsidRDefault="008A165C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165C" w:rsidRPr="009328BD" w:rsidRDefault="00B67E47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72D0" w:rsidRPr="009328BD" w:rsidRDefault="00F472D0" w:rsidP="008A16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165C" w:rsidRPr="009328BD" w:rsidRDefault="00ED1712" w:rsidP="008A1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 xml:space="preserve"> </w:t>
      </w:r>
      <w:r w:rsidR="009328BD" w:rsidRPr="009328BD">
        <w:rPr>
          <w:rFonts w:ascii="Times New Roman" w:hAnsi="Times New Roman" w:cs="Times New Roman"/>
          <w:sz w:val="24"/>
          <w:szCs w:val="24"/>
        </w:rPr>
        <w:t>«31</w:t>
      </w:r>
      <w:r w:rsidR="00025B06" w:rsidRPr="009328BD">
        <w:rPr>
          <w:rFonts w:ascii="Times New Roman" w:hAnsi="Times New Roman" w:cs="Times New Roman"/>
          <w:sz w:val="24"/>
          <w:szCs w:val="24"/>
        </w:rPr>
        <w:t>» октября</w:t>
      </w:r>
      <w:r w:rsidR="009328BD" w:rsidRPr="009328BD">
        <w:rPr>
          <w:rFonts w:ascii="Times New Roman" w:hAnsi="Times New Roman" w:cs="Times New Roman"/>
          <w:sz w:val="24"/>
          <w:szCs w:val="24"/>
        </w:rPr>
        <w:t xml:space="preserve"> 2023</w:t>
      </w:r>
      <w:r w:rsidR="008E17E1" w:rsidRPr="009328B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328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28BD">
        <w:rPr>
          <w:rFonts w:ascii="Times New Roman" w:hAnsi="Times New Roman" w:cs="Times New Roman"/>
          <w:sz w:val="24"/>
          <w:szCs w:val="24"/>
        </w:rPr>
        <w:t xml:space="preserve">  </w:t>
      </w:r>
      <w:r w:rsidR="009328BD" w:rsidRPr="009328BD">
        <w:rPr>
          <w:rFonts w:ascii="Times New Roman" w:hAnsi="Times New Roman" w:cs="Times New Roman"/>
          <w:sz w:val="24"/>
          <w:szCs w:val="24"/>
        </w:rPr>
        <w:t xml:space="preserve"> </w:t>
      </w:r>
      <w:r w:rsidRPr="009328BD">
        <w:rPr>
          <w:rFonts w:ascii="Times New Roman" w:hAnsi="Times New Roman" w:cs="Times New Roman"/>
          <w:sz w:val="24"/>
          <w:szCs w:val="24"/>
        </w:rPr>
        <w:t xml:space="preserve"> </w:t>
      </w:r>
      <w:r w:rsidR="008A165C" w:rsidRPr="009328BD">
        <w:rPr>
          <w:rFonts w:ascii="Times New Roman" w:hAnsi="Times New Roman" w:cs="Times New Roman"/>
          <w:sz w:val="24"/>
          <w:szCs w:val="24"/>
        </w:rPr>
        <w:t xml:space="preserve">с. Боготол   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A165C" w:rsidRPr="009328BD">
        <w:rPr>
          <w:rFonts w:ascii="Times New Roman" w:hAnsi="Times New Roman" w:cs="Times New Roman"/>
          <w:sz w:val="24"/>
          <w:szCs w:val="24"/>
        </w:rPr>
        <w:t xml:space="preserve">     </w:t>
      </w:r>
      <w:r w:rsidR="008E17E1" w:rsidRPr="009328BD">
        <w:rPr>
          <w:rFonts w:ascii="Times New Roman" w:hAnsi="Times New Roman" w:cs="Times New Roman"/>
          <w:sz w:val="24"/>
          <w:szCs w:val="24"/>
        </w:rPr>
        <w:t xml:space="preserve">      </w:t>
      </w:r>
      <w:r w:rsidR="008A165C" w:rsidRPr="009328BD">
        <w:rPr>
          <w:rFonts w:ascii="Times New Roman" w:hAnsi="Times New Roman" w:cs="Times New Roman"/>
          <w:sz w:val="24"/>
          <w:szCs w:val="24"/>
        </w:rPr>
        <w:t xml:space="preserve">   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165C" w:rsidRPr="009328BD">
        <w:rPr>
          <w:rFonts w:ascii="Times New Roman" w:hAnsi="Times New Roman" w:cs="Times New Roman"/>
          <w:sz w:val="24"/>
          <w:szCs w:val="24"/>
        </w:rPr>
        <w:t xml:space="preserve"> №</w:t>
      </w:r>
      <w:r w:rsidRPr="009328BD">
        <w:rPr>
          <w:rFonts w:ascii="Times New Roman" w:hAnsi="Times New Roman" w:cs="Times New Roman"/>
          <w:sz w:val="24"/>
          <w:szCs w:val="24"/>
        </w:rPr>
        <w:t xml:space="preserve"> </w:t>
      </w:r>
      <w:r w:rsidR="009328BD" w:rsidRPr="009328BD">
        <w:rPr>
          <w:rFonts w:ascii="Times New Roman" w:hAnsi="Times New Roman" w:cs="Times New Roman"/>
          <w:sz w:val="24"/>
          <w:szCs w:val="24"/>
        </w:rPr>
        <w:t>63-п</w:t>
      </w:r>
    </w:p>
    <w:p w:rsidR="005B3950" w:rsidRPr="009328BD" w:rsidRDefault="005B3950" w:rsidP="008A1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950" w:rsidRPr="009328BD" w:rsidRDefault="00DD6D9E" w:rsidP="009328BD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1239A" w:rsidRPr="009328BD">
        <w:rPr>
          <w:rFonts w:ascii="Times New Roman" w:hAnsi="Times New Roman" w:cs="Times New Roman"/>
          <w:sz w:val="24"/>
          <w:szCs w:val="24"/>
        </w:rPr>
        <w:t xml:space="preserve">       а</w:t>
      </w:r>
      <w:r w:rsidRPr="009328BD">
        <w:rPr>
          <w:rFonts w:ascii="Times New Roman" w:hAnsi="Times New Roman" w:cs="Times New Roman"/>
          <w:sz w:val="24"/>
          <w:szCs w:val="24"/>
        </w:rPr>
        <w:t>дминистрации Боготольского сельсовета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328BD">
        <w:rPr>
          <w:rFonts w:ascii="Times New Roman" w:hAnsi="Times New Roman" w:cs="Times New Roman"/>
          <w:sz w:val="24"/>
          <w:szCs w:val="24"/>
        </w:rPr>
        <w:t xml:space="preserve">  Боготольского района Красноярского края                                                                     </w:t>
      </w:r>
      <w:r w:rsidR="00F77476" w:rsidRPr="009328BD">
        <w:rPr>
          <w:rFonts w:ascii="Times New Roman" w:hAnsi="Times New Roman" w:cs="Times New Roman"/>
          <w:bCs/>
          <w:sz w:val="24"/>
          <w:szCs w:val="24"/>
        </w:rPr>
        <w:t>«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       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безопасности в границах населенных                      </w:t>
      </w:r>
      <w:r w:rsidR="009328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пунктов Боготольского сельсовета</w:t>
      </w:r>
      <w:r w:rsidR="00F77476" w:rsidRPr="009328BD">
        <w:rPr>
          <w:rFonts w:ascii="Times New Roman" w:hAnsi="Times New Roman" w:cs="Times New Roman"/>
          <w:bCs/>
          <w:sz w:val="24"/>
          <w:szCs w:val="24"/>
        </w:rPr>
        <w:t>»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950" w:rsidRPr="009328BD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8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D9E" w:rsidRPr="009328B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 w:rsidRPr="009328BD">
        <w:rPr>
          <w:rFonts w:ascii="Times New Roman" w:hAnsi="Times New Roman" w:cs="Times New Roman"/>
          <w:sz w:val="24"/>
          <w:szCs w:val="24"/>
        </w:rPr>
        <w:t>Постановлением а</w:t>
      </w:r>
      <w:r w:rsidR="00DD6D9E" w:rsidRPr="009328BD">
        <w:rPr>
          <w:rFonts w:ascii="Times New Roman" w:hAnsi="Times New Roman" w:cs="Times New Roman"/>
          <w:sz w:val="24"/>
          <w:szCs w:val="24"/>
        </w:rPr>
        <w:t>дминистрации Боготольского сельсовета Боготольского</w:t>
      </w:r>
      <w:r w:rsidR="008860F9" w:rsidRPr="009328BD">
        <w:rPr>
          <w:rFonts w:ascii="Times New Roman" w:hAnsi="Times New Roman" w:cs="Times New Roman"/>
          <w:sz w:val="24"/>
          <w:szCs w:val="24"/>
        </w:rPr>
        <w:t xml:space="preserve"> района Красноярского края от 10.09.2013 № 46</w:t>
      </w:r>
      <w:r w:rsidR="00DD6D9E" w:rsidRPr="009328BD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9328BD">
        <w:rPr>
          <w:rFonts w:ascii="Times New Roman" w:hAnsi="Times New Roman" w:cs="Times New Roman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 w:rsidRPr="009328BD">
        <w:rPr>
          <w:rFonts w:ascii="Times New Roman" w:hAnsi="Times New Roman" w:cs="Times New Roman"/>
          <w:bCs/>
          <w:sz w:val="24"/>
          <w:szCs w:val="24"/>
        </w:rPr>
        <w:t xml:space="preserve"> Красноярского края, постановляю</w:t>
      </w:r>
      <w:r w:rsidRPr="009328BD">
        <w:rPr>
          <w:rFonts w:ascii="Times New Roman" w:hAnsi="Times New Roman" w:cs="Times New Roman"/>
          <w:bCs/>
          <w:sz w:val="24"/>
          <w:szCs w:val="24"/>
        </w:rPr>
        <w:t>:</w:t>
      </w:r>
    </w:p>
    <w:p w:rsidR="006A4E12" w:rsidRPr="009328BD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bCs/>
          <w:sz w:val="24"/>
          <w:szCs w:val="24"/>
        </w:rPr>
        <w:t>Внести в Постановление а</w:t>
      </w:r>
      <w:r w:rsidR="006A4E12" w:rsidRPr="009328BD">
        <w:rPr>
          <w:rFonts w:ascii="Times New Roman" w:hAnsi="Times New Roman" w:cs="Times New Roman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 w:rsidRPr="009328BD">
        <w:rPr>
          <w:rFonts w:ascii="Times New Roman" w:hAnsi="Times New Roman" w:cs="Times New Roman"/>
          <w:sz w:val="24"/>
          <w:szCs w:val="24"/>
        </w:rPr>
        <w:t xml:space="preserve">оярского края </w:t>
      </w:r>
      <w:r w:rsidR="00EC129B" w:rsidRPr="009328BD">
        <w:rPr>
          <w:rFonts w:ascii="Times New Roman" w:hAnsi="Times New Roman" w:cs="Times New Roman"/>
          <w:sz w:val="24"/>
          <w:szCs w:val="24"/>
        </w:rPr>
        <w:t xml:space="preserve">от 01.11.2013 № 68 </w:t>
      </w:r>
      <w:r w:rsidR="007D7961" w:rsidRPr="009328BD">
        <w:rPr>
          <w:rFonts w:ascii="Times New Roman" w:hAnsi="Times New Roman" w:cs="Times New Roman"/>
          <w:sz w:val="24"/>
          <w:szCs w:val="24"/>
        </w:rPr>
        <w:t>«</w:t>
      </w:r>
      <w:r w:rsidR="00F77476" w:rsidRPr="009328BD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 w:rsidRPr="009328B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6A4E12" w:rsidRPr="009328B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6A4E12" w:rsidRPr="009328BD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 w:rsidRPr="009328BD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9328BD">
        <w:rPr>
          <w:rFonts w:ascii="Times New Roman" w:hAnsi="Times New Roman" w:cs="Times New Roman"/>
          <w:bCs/>
          <w:sz w:val="24"/>
          <w:szCs w:val="24"/>
        </w:rPr>
        <w:t>» изложить в новой редакции согласно приложению</w:t>
      </w:r>
      <w:r w:rsidR="00840CEB" w:rsidRPr="009328BD">
        <w:rPr>
          <w:rFonts w:ascii="Times New Roman" w:hAnsi="Times New Roman" w:cs="Times New Roman"/>
          <w:bCs/>
          <w:sz w:val="24"/>
          <w:szCs w:val="24"/>
        </w:rPr>
        <w:t>.</w:t>
      </w:r>
    </w:p>
    <w:p w:rsidR="005B3950" w:rsidRPr="009328BD" w:rsidRDefault="0067646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о</w:t>
      </w:r>
      <w:r w:rsidR="005B3950" w:rsidRPr="009328BD">
        <w:rPr>
          <w:rFonts w:ascii="Times New Roman" w:hAnsi="Times New Roman" w:cs="Times New Roman"/>
          <w:sz w:val="24"/>
          <w:szCs w:val="24"/>
        </w:rPr>
        <w:t xml:space="preserve">публиковать Решение в общественно-политической газете «Земля </w:t>
      </w:r>
      <w:proofErr w:type="spellStart"/>
      <w:r w:rsidR="005B3950" w:rsidRPr="009328BD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5B3950" w:rsidRPr="009328BD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5B3950" w:rsidRPr="009328BD">
          <w:rPr>
            <w:rStyle w:val="a4"/>
            <w:rFonts w:ascii="Times New Roman" w:hAnsi="Times New Roman" w:cs="Times New Roman"/>
            <w:sz w:val="24"/>
            <w:szCs w:val="24"/>
          </w:rPr>
          <w:t>www.bogotol-r.ru</w:t>
        </w:r>
      </w:hyperlink>
      <w:r w:rsidR="005B3950" w:rsidRPr="009328BD">
        <w:rPr>
          <w:rFonts w:ascii="Times New Roman" w:hAnsi="Times New Roman" w:cs="Times New Roman"/>
          <w:sz w:val="24"/>
          <w:szCs w:val="24"/>
        </w:rPr>
        <w:t xml:space="preserve">, на странице Боготольского сельсовета.  </w:t>
      </w:r>
    </w:p>
    <w:p w:rsidR="005B3950" w:rsidRPr="009328BD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204C4D" w:rsidRPr="009328BD">
        <w:rPr>
          <w:rFonts w:ascii="Times New Roman" w:hAnsi="Times New Roman" w:cs="Times New Roman"/>
          <w:sz w:val="24"/>
          <w:szCs w:val="24"/>
        </w:rPr>
        <w:t>, но не ранее 1 января 2024</w:t>
      </w:r>
      <w:r w:rsidR="00F77476" w:rsidRPr="009328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8BD">
        <w:rPr>
          <w:rFonts w:ascii="Times New Roman" w:hAnsi="Times New Roman" w:cs="Times New Roman"/>
          <w:sz w:val="24"/>
          <w:szCs w:val="24"/>
        </w:rPr>
        <w:t>.</w:t>
      </w:r>
    </w:p>
    <w:p w:rsidR="009328BD" w:rsidRDefault="009328BD" w:rsidP="009328BD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328BD" w:rsidRPr="009328BD" w:rsidRDefault="009328BD" w:rsidP="009328BD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3950" w:rsidRPr="009328BD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3950" w:rsidRPr="009328BD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8BD">
        <w:rPr>
          <w:rFonts w:ascii="Times New Roman" w:hAnsi="Times New Roman" w:cs="Times New Roman"/>
          <w:bCs/>
          <w:sz w:val="24"/>
          <w:szCs w:val="24"/>
        </w:rPr>
        <w:t>Глава</w:t>
      </w:r>
      <w:r w:rsidR="005B3950" w:rsidRPr="009328BD">
        <w:rPr>
          <w:rFonts w:ascii="Times New Roman" w:hAnsi="Times New Roman" w:cs="Times New Roman"/>
          <w:bCs/>
          <w:sz w:val="24"/>
          <w:szCs w:val="24"/>
        </w:rPr>
        <w:t xml:space="preserve"> Боготольского сельсовета                                             </w:t>
      </w:r>
      <w:r w:rsidRPr="009328BD">
        <w:rPr>
          <w:rFonts w:ascii="Times New Roman" w:hAnsi="Times New Roman" w:cs="Times New Roman"/>
          <w:bCs/>
          <w:sz w:val="24"/>
          <w:szCs w:val="24"/>
        </w:rPr>
        <w:t xml:space="preserve">   Е.В. Крикливых</w:t>
      </w:r>
    </w:p>
    <w:p w:rsidR="005B3950" w:rsidRPr="009328BD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77476" w:rsidRPr="009328BD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77476" w:rsidRPr="009328BD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77476" w:rsidRPr="009328BD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77476" w:rsidRPr="009328BD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2E0F7A" w:rsidRPr="009328BD" w:rsidRDefault="002E0F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2E0F7A" w:rsidRPr="009328BD" w:rsidRDefault="002E0F7A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9328BD" w:rsidTr="00BC7AC3">
        <w:tc>
          <w:tcPr>
            <w:tcW w:w="5778" w:type="dxa"/>
          </w:tcPr>
          <w:p w:rsidR="00C355B2" w:rsidRPr="009328BD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9328BD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7747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  <w:r w:rsidR="00025B0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7C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63-п</w:t>
            </w:r>
            <w:r w:rsidR="00E117C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5B2" w:rsidRPr="009328BD" w:rsidRDefault="00C355B2" w:rsidP="00C355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</w:p>
    <w:p w:rsidR="00C355B2" w:rsidRPr="009328BD" w:rsidRDefault="00C355B2" w:rsidP="00C3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082" w:rsidRPr="009328BD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355B2" w:rsidRPr="009328BD" w:rsidRDefault="00C355B2" w:rsidP="00C3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9328BD" w:rsidRDefault="00C355B2" w:rsidP="00C355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муниципальной программы «</w:t>
      </w:r>
      <w:r w:rsidR="00916082" w:rsidRPr="009328BD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355B2" w:rsidRPr="009328BD" w:rsidRDefault="00C355B2" w:rsidP="00C3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9328BD" w:rsidRDefault="00C355B2" w:rsidP="00916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16082" w:rsidRPr="009328B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9328BD" w:rsidRDefault="00C355B2" w:rsidP="00916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16082" w:rsidRPr="009328BD">
              <w:rPr>
                <w:rFonts w:ascii="Times New Roman" w:hAnsi="Times New Roman" w:cs="Times New Roman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9328BD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9328BD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9328BD" w:rsidTr="00BC7AC3">
        <w:tc>
          <w:tcPr>
            <w:tcW w:w="2448" w:type="dxa"/>
          </w:tcPr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93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9328BD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9328BD" w:rsidRDefault="00C355B2" w:rsidP="00C3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</w:t>
            </w:r>
            <w:r w:rsidR="00C142B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51A1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B0B1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нансирования программы – 4649,2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–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08C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8F5963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 50,5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A1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120,2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9328BD" w:rsidRDefault="00F472D0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 </w:t>
            </w:r>
            <w:r w:rsidR="00B51A1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F472D0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 66,0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9328BD" w:rsidRDefault="004C7750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 98,8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B4B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2B4B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 </w:t>
            </w:r>
            <w:r w:rsidR="008915D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085EA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2B38F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F472D0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D311CC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231,4</w:t>
            </w:r>
            <w:r w:rsidR="008F596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5C86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1049,8 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ED1712" w:rsidRPr="009328BD" w:rsidRDefault="00B51A15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 824,1 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5CB8" w:rsidRPr="009328BD" w:rsidRDefault="00B51A15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824,1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4C4D" w:rsidRPr="009328BD" w:rsidRDefault="00B51A15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824,1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B51A15" w:rsidRPr="009328BD" w:rsidRDefault="00B51A15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A15" w:rsidRPr="009328BD" w:rsidRDefault="00B51A15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2014 год –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9328BD" w:rsidRDefault="00F472D0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 тыс. рублей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2B4B" w:rsidRPr="009328BD" w:rsidRDefault="002C2B4B" w:rsidP="002C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 0,0 тыс. рублей;</w:t>
            </w:r>
            <w:r w:rsidR="002B0B1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72D0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рублей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472D0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рублей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712" w:rsidRPr="009328BD" w:rsidRDefault="00ED171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 0,0 тыс. рублей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5CB8" w:rsidRPr="009328BD" w:rsidRDefault="002D5CB8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0,0 тыс. рублей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4C4D" w:rsidRPr="009328BD" w:rsidRDefault="00204C4D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0,0 тыс. рублей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571AC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142B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E6EF1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</w:t>
            </w:r>
            <w:r w:rsidR="002B0B1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краевого бюджета –   1318,1</w:t>
            </w:r>
            <w:r w:rsidR="008915D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рублей: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9328BD" w:rsidRDefault="00F72586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 62,8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5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62,8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5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62,8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75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2B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2B4B" w:rsidRPr="009328BD" w:rsidRDefault="002C2B4B" w:rsidP="002C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 </w:t>
            </w:r>
            <w:r w:rsidR="00085EA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219,4</w:t>
            </w:r>
            <w:r w:rsidR="002B38F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355B2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219,4</w:t>
            </w:r>
            <w:r w:rsidR="002B38F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472D0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439,9 </w:t>
            </w:r>
            <w:r w:rsidR="00785C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712" w:rsidRPr="009328BD" w:rsidRDefault="00ED171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5CB8" w:rsidRPr="009328BD" w:rsidRDefault="008915DA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 – 0,0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4C4D" w:rsidRPr="009328BD" w:rsidRDefault="001E5B9E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0,0 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ED171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</w:t>
            </w:r>
            <w:r w:rsidR="00B51A1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местного бюджета  - </w:t>
            </w:r>
            <w:r w:rsidR="00F72586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0B1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3331,1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рублей: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 </w:t>
            </w:r>
            <w:r w:rsidR="000C0E9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0C0E9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 65,1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9328BD" w:rsidRDefault="00F72586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 3,2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355B2" w:rsidRPr="009328BD" w:rsidRDefault="00BE70A4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 </w:t>
            </w:r>
            <w:r w:rsidR="00CC42E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5B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355B2" w:rsidRPr="009328BD" w:rsidRDefault="00C355B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B4B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9,0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E962F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2B4B" w:rsidRPr="009328BD" w:rsidRDefault="002B38F5" w:rsidP="002C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C2B4B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8915D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B4B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C355B2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B38F5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72D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</w:t>
            </w:r>
            <w:r w:rsidR="00E962F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62F0" w:rsidRPr="009328BD" w:rsidRDefault="002C2B4B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E962F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609,9 </w:t>
            </w:r>
            <w:r w:rsidR="00E962F0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712" w:rsidRPr="009328BD" w:rsidRDefault="00ED1712" w:rsidP="00ED1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1E5B9E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824,1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5CB8" w:rsidRPr="009328BD" w:rsidRDefault="001E5B9E" w:rsidP="00ED1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824,1</w:t>
            </w:r>
            <w:r w:rsidR="002D5CB8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204C4D" w:rsidRPr="009328BD" w:rsidRDefault="00B51A15" w:rsidP="00ED1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- 824,1</w:t>
            </w:r>
            <w:r w:rsidR="00204C4D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D1712" w:rsidRPr="009328BD" w:rsidRDefault="00ED1712" w:rsidP="00C3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5B2" w:rsidRPr="009328BD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1CC" w:rsidRPr="009328BD" w:rsidRDefault="00D311CC" w:rsidP="00D311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разделы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Характеристика текущего состояния </w:t>
      </w:r>
      <w:r w:rsidRPr="009328BD">
        <w:rPr>
          <w:rFonts w:ascii="Times New Roman" w:hAnsi="Times New Roman" w:cs="Times New Roman"/>
          <w:sz w:val="24"/>
          <w:szCs w:val="24"/>
        </w:rPr>
        <w:t>обеспечения первичных мер пожарной безопасности в границах населенных пунктов Боготольского сельсовета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причинами возникновения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по  предупреждению пожаров.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характера, несущие потенциальную угрозу пожарной безопасности населенных пунктов Боготольского сельсовета: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пожары;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аварии на транспорте;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 на коммунально-энергетических сетях;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аварийный розлив нефти;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снежные заносы и бури.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период  2021</w:t>
      </w:r>
      <w:r w:rsidR="001D1F84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-2022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на территории Боготольского сельсовета зарегистрировано</w:t>
      </w:r>
      <w:r w:rsidR="001D1F84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термоточек</w:t>
      </w:r>
      <w:proofErr w:type="spellEnd"/>
      <w:r w:rsidR="001D1F84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период 2023</w:t>
      </w:r>
      <w:r w:rsidR="00A8605E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1</w:t>
      </w:r>
      <w:r w:rsidR="0018410A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605E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9328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</w:t>
        </w:r>
      </w:smartTag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Боготола находится нефтепровод  и трасса федерального значения М-53, что может быть  источником чрезвычайных ситуаций (розлив нефти и </w:t>
      </w:r>
      <w:proofErr w:type="spell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proofErr w:type="spell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прилегает лесной массив).  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 в сельсовете.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пожарной безопасности.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сельсовета для предотвращения  пожаров,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пострадать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чрезвычайных ситуаций неработающие граждане, (общая числе</w:t>
      </w:r>
      <w:r w:rsidR="001D1F84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населения сельсовета 2174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человек),  из общей численности населения  лиц моложе трудоспособного возраста 391 человек, пенсионеров – 597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D311CC" w:rsidRPr="009328BD" w:rsidRDefault="00D311CC" w:rsidP="00D311CC">
      <w:pPr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Pr="009328BD">
        <w:rPr>
          <w:rFonts w:ascii="Times New Roman" w:hAnsi="Times New Roman" w:cs="Times New Roman"/>
          <w:sz w:val="24"/>
          <w:szCs w:val="24"/>
        </w:rPr>
        <w:t xml:space="preserve"> первичных мер пожарной безопасности в границах населенных пунктов Боготольского сельсовета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программы: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первичных мер пожар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безопасности. 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Механизм реализации мероприятий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Муниципальная Программа реализуется в рамках  мероприятий.</w:t>
      </w: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>от 24.12.2004 № 13-2821 «О пожарной безопасности в Красноярском крае»;</w:t>
      </w: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 xml:space="preserve"> с действующими нормативно-правовыми актами Боготольского сельсовета.</w:t>
      </w: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 xml:space="preserve">     Главным распорядителем бюджетных средств на выполнение мероприятий выступает </w:t>
      </w:r>
      <w:r w:rsidRPr="009328BD">
        <w:rPr>
          <w:rFonts w:ascii="Times New Roman" w:hAnsi="Times New Roman" w:cs="Times New Roman"/>
          <w:sz w:val="24"/>
          <w:szCs w:val="24"/>
        </w:rPr>
        <w:lastRenderedPageBreak/>
        <w:t>Администрация Боготольского сельсовета.</w:t>
      </w:r>
    </w:p>
    <w:p w:rsidR="00D311CC" w:rsidRPr="009328BD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8BD">
        <w:rPr>
          <w:rFonts w:ascii="Times New Roman" w:hAnsi="Times New Roman" w:cs="Times New Roman"/>
          <w:sz w:val="24"/>
          <w:szCs w:val="24"/>
        </w:rPr>
        <w:t xml:space="preserve">     Получателем бюджетных средств на выполнение мероприятий является Администрация Боготольского сельсовета.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кр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Управление программой и контроль за ходом ее выполнения.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Администрация осуществляет: 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9328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месяца, следующего за отчетным, годового - до 1 марта года, следующего за отчетным.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ходом реализации мероприятий программы.</w:t>
      </w:r>
    </w:p>
    <w:p w:rsidR="00D311CC" w:rsidRPr="009328BD" w:rsidRDefault="00D311CC" w:rsidP="00D311CC">
      <w:pPr>
        <w:spacing w:after="0" w:line="240" w:lineRule="auto"/>
        <w:ind w:right="20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D311CC" w:rsidRPr="009328BD" w:rsidRDefault="00D311CC" w:rsidP="00D311CC">
      <w:pPr>
        <w:spacing w:after="0" w:line="240" w:lineRule="auto"/>
        <w:ind w:right="20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программных мероприятий обеспечит: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D311CC" w:rsidRPr="009328BD" w:rsidRDefault="00D311CC" w:rsidP="00D3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ожидаемых результатов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Pr="009328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32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8608C" w:rsidRPr="009328BD" w:rsidRDefault="0098608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1.1. Обеспечение первичных мер пожарной безопасности.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1. </w:t>
      </w:r>
      <w:proofErr w:type="gram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2. Содержание,  ремонт и обслуживание техники специальной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4.Ремонт и профилактическое обслуживание сетей противопожарного водопровода, установка указателей гидрантов и водоёмов (</w:t>
      </w:r>
      <w:proofErr w:type="spellStart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 5. Создание минерализованных защитных полос.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6. Приобретение боевой одежды пожарного (БОП) для пожарных добровольцев.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Мероприятие  7. Приобретение и (или) </w:t>
      </w:r>
      <w:r w:rsidRPr="00932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 8. Распространение среди населения </w:t>
      </w:r>
      <w:r w:rsidRPr="009328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9. Материальное стимулирование работы добровольных пожарных за участие в профилактике и тушении пожаров.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программы</w:t>
      </w:r>
    </w:p>
    <w:p w:rsidR="00D311CC" w:rsidRPr="009328BD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программы –</w:t>
      </w:r>
      <w:r w:rsidR="008915DA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4649,2 тыс. рублей, в том числе: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 –  35,0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 –  50,5 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 –  120,2 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–  127,9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 –  66,0 тыс. рулей;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 98,8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 –  165,9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 231,4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 231,4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 1049,8 тыс. рублей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 824,1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 824,1 тыс. рублей;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824,1 тыс. рублей</w:t>
      </w:r>
    </w:p>
    <w:p w:rsidR="007D4313" w:rsidRPr="009328BD" w:rsidRDefault="007D4313" w:rsidP="007D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28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D311CC" w:rsidRPr="009328BD" w:rsidRDefault="00D311CC" w:rsidP="00D311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1CC" w:rsidRPr="009328BD" w:rsidRDefault="00D311CC" w:rsidP="00D311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 сельсовета   ________________   Е.В. Крикливых</w:t>
      </w:r>
    </w:p>
    <w:p w:rsidR="00D311CC" w:rsidRPr="009328BD" w:rsidRDefault="00D311CC" w:rsidP="00D311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(подпись)</w:t>
      </w: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BC7AC3" w:rsidRPr="009328BD" w:rsidRDefault="00BC7AC3" w:rsidP="00DB5E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sectPr w:rsidR="00BC7AC3" w:rsidRPr="009328BD" w:rsidSect="0098608C">
          <w:pgSz w:w="11906" w:h="16838"/>
          <w:pgMar w:top="1134" w:right="566" w:bottom="426" w:left="1701" w:header="708" w:footer="708" w:gutter="0"/>
          <w:cols w:space="708"/>
          <w:docGrid w:linePitch="360"/>
        </w:sectPr>
      </w:pPr>
    </w:p>
    <w:p w:rsidR="00C355B2" w:rsidRPr="009328BD" w:rsidRDefault="00C355B2" w:rsidP="00BC7AC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9328BD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328BD" w:rsidRDefault="00BC7AC3" w:rsidP="00BC7AC3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1</w:t>
            </w:r>
          </w:p>
          <w:p w:rsidR="00916082" w:rsidRPr="009328BD" w:rsidRDefault="00BC7AC3" w:rsidP="0091608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916082" w:rsidRPr="009328BD" w:rsidRDefault="00BC7AC3" w:rsidP="0091608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="00916082" w:rsidRPr="009328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9328BD" w:rsidRDefault="00916082" w:rsidP="0091608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hAnsi="Times New Roman" w:cs="Times New Roman"/>
                <w:sz w:val="24"/>
                <w:szCs w:val="24"/>
              </w:rPr>
              <w:t>пунктов Боготольского сельсовета»</w:t>
            </w:r>
          </w:p>
        </w:tc>
      </w:tr>
      <w:tr w:rsidR="00BC7AC3" w:rsidRPr="009328BD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9328BD" w:rsidRDefault="00BC7AC3" w:rsidP="0091608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9328BD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9328BD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9328BD" w:rsidRDefault="0018410A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C7AC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9328BD" w:rsidRDefault="0018410A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C7AC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9328BD" w:rsidRDefault="0018410A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BC7AC3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C3" w:rsidRPr="009328BD" w:rsidTr="00BC7AC3">
        <w:trPr>
          <w:trHeight w:val="300"/>
        </w:trPr>
        <w:tc>
          <w:tcPr>
            <w:tcW w:w="193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9328BD" w:rsidRDefault="00BC7AC3" w:rsidP="00BC7A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1698" w:rsidRPr="009328BD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9328BD" w:rsidRDefault="009328BD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9328BD" w:rsidTr="00ED1712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Боготольского сельсовета Боготольского района Красноярского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9328BD" w:rsidRDefault="009328BD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1.1.1.</w:t>
            </w:r>
          </w:p>
        </w:tc>
        <w:tc>
          <w:tcPr>
            <w:tcW w:w="2305" w:type="dxa"/>
            <w:vMerge w:val="restart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16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9328BD" w:rsidRDefault="009328BD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582" w:type="dxa"/>
          </w:tcPr>
          <w:p w:rsidR="00271698" w:rsidRPr="009328BD" w:rsidRDefault="009328BD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профилактическое обслуживание сетей противопожарного водопровода,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указателей гидрантов и водоемов (</w:t>
            </w:r>
            <w:proofErr w:type="spellStart"/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277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4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2B38F5">
        <w:trPr>
          <w:trHeight w:val="1515"/>
        </w:trPr>
        <w:tc>
          <w:tcPr>
            <w:tcW w:w="1932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BC7AC3">
        <w:trPr>
          <w:trHeight w:val="1515"/>
        </w:trPr>
        <w:tc>
          <w:tcPr>
            <w:tcW w:w="1932" w:type="dxa"/>
            <w:vMerge w:val="restart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Материальное стимулирование работы добровольных пожарных за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профилактике и тушении пожаров</w:t>
            </w:r>
          </w:p>
        </w:tc>
        <w:tc>
          <w:tcPr>
            <w:tcW w:w="1916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BC7AC3">
        <w:trPr>
          <w:trHeight w:val="1515"/>
        </w:trPr>
        <w:tc>
          <w:tcPr>
            <w:tcW w:w="1932" w:type="dxa"/>
            <w:vMerge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vMerge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5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2" w:type="dxa"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698" w:rsidRPr="009328BD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271698" w:rsidRPr="009328BD" w:rsidRDefault="00271698" w:rsidP="002716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Боготольского сельсовета                                                                                                                      Е.В. Крикливых</w:t>
            </w:r>
          </w:p>
        </w:tc>
      </w:tr>
    </w:tbl>
    <w:p w:rsidR="00C355B2" w:rsidRPr="009328BD" w:rsidRDefault="00C355B2" w:rsidP="00C355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55B2" w:rsidRPr="009328BD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873"/>
        <w:gridCol w:w="4110"/>
        <w:gridCol w:w="3825"/>
        <w:gridCol w:w="1079"/>
        <w:gridCol w:w="1030"/>
        <w:gridCol w:w="1812"/>
        <w:gridCol w:w="1454"/>
      </w:tblGrid>
      <w:tr w:rsidR="00BC7AC3" w:rsidRPr="009328BD" w:rsidTr="009328BD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2</w:t>
            </w:r>
          </w:p>
        </w:tc>
      </w:tr>
      <w:tr w:rsidR="00BC7AC3" w:rsidRPr="009328BD" w:rsidTr="009328BD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328BD" w:rsidRDefault="00BC7AC3" w:rsidP="00BC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916082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 муниципальной программе "</w:t>
            </w:r>
            <w:r w:rsidR="00916082" w:rsidRPr="009328B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916082" w:rsidRPr="009328BD" w:rsidRDefault="00916082" w:rsidP="00BC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D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населенных </w:t>
            </w:r>
          </w:p>
          <w:p w:rsidR="00BC7AC3" w:rsidRPr="009328BD" w:rsidRDefault="00916082" w:rsidP="00BC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hAnsi="Times New Roman" w:cs="Times New Roman"/>
                <w:sz w:val="24"/>
                <w:szCs w:val="24"/>
              </w:rPr>
              <w:t>пунктов Боготольского сельсовета»</w:t>
            </w:r>
          </w:p>
        </w:tc>
      </w:tr>
      <w:tr w:rsidR="00BC7AC3" w:rsidRPr="009328BD" w:rsidTr="009328BD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91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C3" w:rsidRPr="009328BD" w:rsidTr="009328BD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91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C3" w:rsidRPr="009328BD" w:rsidTr="009328BD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082" w:rsidRPr="009328BD" w:rsidRDefault="00916082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9328BD" w:rsidRDefault="00BC7AC3" w:rsidP="00916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C3" w:rsidRPr="009328BD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9328BD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9328BD" w:rsidTr="00FB51D0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9328BD" w:rsidTr="009328BD">
        <w:trPr>
          <w:trHeight w:val="30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AC3" w:rsidRPr="009328BD" w:rsidTr="009328BD">
        <w:trPr>
          <w:trHeight w:val="33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C7AC3" w:rsidRPr="009328BD" w:rsidTr="009328BD">
        <w:trPr>
          <w:trHeight w:val="570"/>
        </w:trPr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3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9328BD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9328BD" w:rsidTr="009328BD">
        <w:trPr>
          <w:trHeight w:val="780"/>
        </w:trPr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9328BD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9328BD" w:rsidRDefault="0018410A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9328BD" w:rsidRDefault="0018410A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9328BD" w:rsidRDefault="0018410A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9328BD" w:rsidRDefault="002B38F5" w:rsidP="00EA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   </w:t>
            </w:r>
            <w:r w:rsidR="0018410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9328BD" w:rsidTr="009328BD">
        <w:trPr>
          <w:trHeight w:val="34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58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1.1.1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2472,3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Приобретение противопожарного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инвентаря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и обслуживание техники специальной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46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профилактическое обслуживание сетей противопожарного водопровода, установка указателей гидрантов и водоемов (</w:t>
            </w:r>
            <w:proofErr w:type="spellStart"/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160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боевой одежды пожарного (БОП) для пожарных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добровольцев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51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6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1.8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70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975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52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1.9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336"/>
        </w:trPr>
        <w:tc>
          <w:tcPr>
            <w:tcW w:w="18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8BD" w:rsidRPr="009328BD" w:rsidTr="009328BD">
        <w:trPr>
          <w:trHeight w:val="336"/>
        </w:trPr>
        <w:tc>
          <w:tcPr>
            <w:tcW w:w="18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8BD" w:rsidRPr="009328BD" w:rsidTr="009328BD">
        <w:trPr>
          <w:trHeight w:val="228"/>
        </w:trPr>
        <w:tc>
          <w:tcPr>
            <w:tcW w:w="18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180"/>
        </w:trPr>
        <w:tc>
          <w:tcPr>
            <w:tcW w:w="187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8BD" w:rsidRPr="009328BD" w:rsidRDefault="009328BD" w:rsidP="009328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5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28BD" w:rsidRPr="009328BD" w:rsidTr="009328BD">
        <w:trPr>
          <w:trHeight w:val="255"/>
        </w:trPr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8BD" w:rsidRPr="009328BD" w:rsidTr="00FB51D0">
        <w:trPr>
          <w:trHeight w:val="28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28BD" w:rsidRPr="009328BD" w:rsidRDefault="009328BD" w:rsidP="0093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Боготольского сельсовета                                                           Е.В. Крикливых</w:t>
            </w:r>
          </w:p>
        </w:tc>
      </w:tr>
    </w:tbl>
    <w:p w:rsidR="00C355B2" w:rsidRPr="009328BD" w:rsidRDefault="00C355B2" w:rsidP="00C355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9328BD" w:rsidRDefault="00C355B2" w:rsidP="00C355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Паспорту муниципальной программы «</w:t>
      </w:r>
      <w:r w:rsidR="00916082" w:rsidRPr="009328BD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9328BD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9328BD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финансовый год 2023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 2024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410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год планового периода 2025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8410A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год планового периода 2026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9328BD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18410A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61098F"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BC7AC3" w:rsidRPr="009328BD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932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9328BD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9328BD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9328BD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098F" w:rsidRPr="009328BD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9328BD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BC7AC3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Е.В. Крикливых</w:t>
      </w: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AC3" w:rsidRPr="009328BD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9328BD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C355B2" w:rsidRPr="009328BD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25B06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8410A"/>
    <w:rsid w:val="001D1F84"/>
    <w:rsid w:val="001D53B7"/>
    <w:rsid w:val="001E5B9E"/>
    <w:rsid w:val="001F1F80"/>
    <w:rsid w:val="00204C4D"/>
    <w:rsid w:val="00246EB6"/>
    <w:rsid w:val="00266C0B"/>
    <w:rsid w:val="00270307"/>
    <w:rsid w:val="00271698"/>
    <w:rsid w:val="002735FC"/>
    <w:rsid w:val="002772C2"/>
    <w:rsid w:val="002A3B62"/>
    <w:rsid w:val="002A5493"/>
    <w:rsid w:val="002B0B1F"/>
    <w:rsid w:val="002B1F28"/>
    <w:rsid w:val="002B38F5"/>
    <w:rsid w:val="002C2B4B"/>
    <w:rsid w:val="002D5CB8"/>
    <w:rsid w:val="002E0F7A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62DC0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76462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248D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4313"/>
    <w:rsid w:val="007D7961"/>
    <w:rsid w:val="007E2468"/>
    <w:rsid w:val="007E3AA4"/>
    <w:rsid w:val="008001D1"/>
    <w:rsid w:val="00805B5A"/>
    <w:rsid w:val="00805D9E"/>
    <w:rsid w:val="00807829"/>
    <w:rsid w:val="008137F3"/>
    <w:rsid w:val="008155FE"/>
    <w:rsid w:val="00823C84"/>
    <w:rsid w:val="00840CEB"/>
    <w:rsid w:val="0084382C"/>
    <w:rsid w:val="00860365"/>
    <w:rsid w:val="00883127"/>
    <w:rsid w:val="008860F9"/>
    <w:rsid w:val="008915DA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28BD"/>
    <w:rsid w:val="00935ADF"/>
    <w:rsid w:val="0098608C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8605E"/>
    <w:rsid w:val="00AA57A5"/>
    <w:rsid w:val="00B058DD"/>
    <w:rsid w:val="00B36B58"/>
    <w:rsid w:val="00B47305"/>
    <w:rsid w:val="00B51A1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11C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51D0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427B-358F-4A3A-A922-EE0F760B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96</cp:revision>
  <cp:lastPrinted>2023-11-03T05:31:00Z</cp:lastPrinted>
  <dcterms:created xsi:type="dcterms:W3CDTF">2016-11-10T06:55:00Z</dcterms:created>
  <dcterms:modified xsi:type="dcterms:W3CDTF">2023-11-17T07:00:00Z</dcterms:modified>
</cp:coreProperties>
</file>