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РОССИЙСКАЯ ФЕДЕРАЦИЯ</w:t>
      </w:r>
    </w:p>
    <w:p w:rsidR="004F7BCF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БОГОТОЛЬСКОГО СЕЛЬСОВЕТА 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CF5655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374F">
        <w:rPr>
          <w:rFonts w:ascii="Arial" w:hAnsi="Arial" w:cs="Arial"/>
          <w:sz w:val="24"/>
          <w:szCs w:val="24"/>
        </w:rPr>
        <w:t>27.10.2017</w:t>
      </w:r>
      <w:r w:rsidR="008A165C">
        <w:rPr>
          <w:rFonts w:ascii="Arial" w:hAnsi="Arial" w:cs="Arial"/>
          <w:sz w:val="24"/>
          <w:szCs w:val="24"/>
        </w:rPr>
        <w:t xml:space="preserve">  </w:t>
      </w:r>
      <w:r w:rsidR="008860F9">
        <w:rPr>
          <w:rFonts w:ascii="Arial" w:hAnsi="Arial" w:cs="Arial"/>
          <w:sz w:val="24"/>
          <w:szCs w:val="24"/>
        </w:rPr>
        <w:t xml:space="preserve">                         </w:t>
      </w:r>
      <w:r w:rsidR="008A165C">
        <w:rPr>
          <w:rFonts w:ascii="Arial" w:hAnsi="Arial" w:cs="Arial"/>
          <w:sz w:val="24"/>
          <w:szCs w:val="24"/>
        </w:rPr>
        <w:t xml:space="preserve">            с. Боготол                                              №</w:t>
      </w:r>
      <w:r w:rsidR="00A8374F">
        <w:rPr>
          <w:rFonts w:ascii="Arial" w:hAnsi="Arial" w:cs="Arial"/>
          <w:sz w:val="24"/>
          <w:szCs w:val="24"/>
        </w:rPr>
        <w:t xml:space="preserve"> 71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                                                      Администрации Боготольского сельсовета                                                     Боготольского района Красноярского края                                                                     «</w:t>
      </w:r>
      <w:r w:rsidR="0079477B">
        <w:rPr>
          <w:rFonts w:ascii="Arial" w:hAnsi="Arial" w:cs="Arial"/>
          <w:sz w:val="24"/>
          <w:szCs w:val="24"/>
        </w:rPr>
        <w:t>Обеспечение пожарной безопасности и защита                                                              населения и территории Боготольского сельсовета                                                                              от чрезвычайных ситуаций природного и                                                                        техногенного характера</w:t>
      </w:r>
      <w:r w:rsidR="004858E3">
        <w:rPr>
          <w:bCs/>
          <w:sz w:val="28"/>
          <w:szCs w:val="28"/>
        </w:rPr>
        <w:t>»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9477B">
        <w:rPr>
          <w:rFonts w:ascii="Arial" w:hAnsi="Arial" w:cs="Arial"/>
          <w:sz w:val="24"/>
          <w:szCs w:val="24"/>
        </w:rPr>
        <w:t>«</w:t>
      </w:r>
      <w:r w:rsidR="008860F9">
        <w:rPr>
          <w:rFonts w:ascii="Arial" w:hAnsi="Arial" w:cs="Arial"/>
          <w:sz w:val="24"/>
          <w:szCs w:val="24"/>
        </w:rPr>
        <w:t xml:space="preserve"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 </w:t>
      </w:r>
      <w:r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8860F9">
        <w:rPr>
          <w:rFonts w:ascii="Arial" w:hAnsi="Arial" w:cs="Arial"/>
          <w:sz w:val="24"/>
          <w:szCs w:val="24"/>
        </w:rPr>
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6A4E12">
        <w:rPr>
          <w:rFonts w:ascii="Arial" w:hAnsi="Arial" w:cs="Arial"/>
          <w:sz w:val="24"/>
          <w:szCs w:val="24"/>
        </w:rPr>
        <w:t xml:space="preserve">, но не </w:t>
      </w:r>
      <w:r w:rsidR="00CF5655">
        <w:rPr>
          <w:rFonts w:ascii="Arial" w:hAnsi="Arial" w:cs="Arial"/>
          <w:sz w:val="24"/>
          <w:szCs w:val="24"/>
        </w:rPr>
        <w:t>ранее 1 января 2018</w:t>
      </w:r>
      <w:r w:rsidR="006A4E12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</w:t>
      </w:r>
      <w:r w:rsidR="00594508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>С.А</w:t>
      </w:r>
      <w:proofErr w:type="gramStart"/>
      <w:r w:rsidR="00C355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>Филиппов</w:t>
      </w:r>
    </w:p>
    <w:p w:rsidR="005B3950" w:rsidRP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27.10.2017 № 71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</w:t>
      </w:r>
    </w:p>
    <w:p w:rsidR="00C355B2" w:rsidRPr="00C355B2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«Обеспечение пожарной безопасности и защита населения и территории Боготольского сельсовета от чрезвычайных ситуаций природного </w:t>
      </w:r>
    </w:p>
    <w:p w:rsidR="00C355B2" w:rsidRPr="00C355B2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и техногенного характера»</w:t>
      </w:r>
    </w:p>
    <w:p w:rsidR="00C355B2" w:rsidRPr="00C355B2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Боготольского сельсовета (далее – сельсовет) от чрезвычайных ситуаций природного и техногенного характера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  <w:r w:rsidRPr="00C35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Улучшение материально - технической базы добровольной пожарной охраны.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Организация обучения населения в области гражданской обороны, защиты от чрезвычайных ситуаций природного и техногенного характера.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 188,5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40,9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 62,3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 0,0 тыс. рулей;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2019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– 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местного бюджета  - 188,5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40,9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62,3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2.1. Характеристика текущего состояния защиты населения и территории сельсовета от чрезвычайных ситуаций  природного и техногенного характера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характера: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C355B2" w:rsidRPr="00C355B2" w:rsidRDefault="00C355B2" w:rsidP="00C355B2">
      <w:pPr>
        <w:spacing w:after="0" w:line="240" w:lineRule="auto"/>
        <w:ind w:right="2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В 2012 году на территории Боготольского сельсовета чрезвычайных ситуаций не зарегистрировано.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от             с. Боготола находится нефтепровод  и трасса федерального значения М-53, что может быть  источником чрезвычайных ситуаций (розлив нефти и дорожн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транспортные происшествия).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Пожары являются одним из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факторов, негативно влияющих на состояние экономики сельсовета и в целом дестабилизируют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социальную и экономическую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обстановку.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численность которых составляет 728 человек (общая численности населения сельсовета 2779 человек),  из общей численности населения  лиц моложе трудоспособного возраста 705 человек, пенсионеров – 684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 пожарной безопасности и эффективной системы защиты населения и территории  Боготольского сельсовета от чрезвычайных ситуаций природного и техногенного характера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1. Выполнение первичных мер пожарной безопасности.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C355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материально – технической оснащенности добровольной пожарной охраны.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3. Организация обучения населения в области гражданской обороны, защиты от чрезвычайных ситуаций природного и техногенного характера.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программой и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</w:t>
      </w:r>
      <w:proofErr w:type="gramStart"/>
      <w:r w:rsidRPr="00C355B2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C355B2">
        <w:rPr>
          <w:rFonts w:ascii="Arial" w:eastAsia="Calibri" w:hAnsi="Arial" w:cs="Arial"/>
          <w:sz w:val="24"/>
          <w:szCs w:val="24"/>
          <w:lang w:eastAsia="ru-RU"/>
        </w:rPr>
        <w:t>, годового - до 1 марта года, следующего за отчетным.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мероприятий программы.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выполнение полномочий сельсовета в области пожарной безопасности, гражданской обороны, предупреждения и ликвидации чрезвычайных ситуаций;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знаний населения в области гражданской обороны, защиты от чрезвычайных ситуаций природного и техногенного характера;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автомобиля (специального).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5. Материальное стимулирование добровольных инспекторов пожарной охраны и внештатных инструкторов.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6. Создание минерализованных защитных полос.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1. Приобретение боевой одежды пожарного (БОП) для пожарных добровольцев.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Приобретение и (или)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Мероприятие 2.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5. Ресурсное обеспечение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программы –188,5 тыс. рублей, в том числе: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2014 год – 35,0 тыс. рублей;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2015 год –  50,3  тыс. рублей;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 40,9  тыс. рублей;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2017 год –   62,3 тыс. рублей;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2018 год –   0,0 тыс. рулей;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2019 год –  0,0 тыс. рублей;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0,0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ублей</w:t>
      </w:r>
      <w:proofErr w:type="spellEnd"/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 сельсовета   ________________   С.А.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Филиппов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2018 год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2019 год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2020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добровольных инспекторов, пожарной охраны и внештатных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инструкторов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2.1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и (или) изготовление плакатов, буклетов, памяток, листовок в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всего расходные обязательства по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Глава Боготольского сельсовета                                   С.А. Филиппов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850"/>
        <w:gridCol w:w="2998"/>
        <w:gridCol w:w="4175"/>
        <w:gridCol w:w="1159"/>
        <w:gridCol w:w="1099"/>
        <w:gridCol w:w="1159"/>
        <w:gridCol w:w="1120"/>
      </w:tblGrid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BC7AC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BC7AC3">
        <w:trPr>
          <w:trHeight w:val="5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BC7AC3">
        <w:trPr>
          <w:trHeight w:val="7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период    2018-2020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8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46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60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боевой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одежды пожарного (БОП) для пожарных добровольцев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97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85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Глава Боготольского сельсовета                                                           С.А. Филиппов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AC3">
        <w:rPr>
          <w:rFonts w:ascii="Arial" w:eastAsia="Times New Roman" w:hAnsi="Arial" w:cs="Arial"/>
          <w:lang w:eastAsia="ru-RU"/>
        </w:rPr>
        <w:t>к Паспорту муниципальной программы «Обеспечение пожарной безопасности  и защита населения и территории Боготольского сельсовета от чрезвычайных ситуаций природного и техногенного характера»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1276"/>
        <w:gridCol w:w="689"/>
        <w:gridCol w:w="31"/>
        <w:gridCol w:w="131"/>
        <w:gridCol w:w="22"/>
        <w:gridCol w:w="828"/>
        <w:gridCol w:w="709"/>
        <w:gridCol w:w="992"/>
        <w:gridCol w:w="1134"/>
        <w:gridCol w:w="1276"/>
        <w:gridCol w:w="1134"/>
        <w:gridCol w:w="709"/>
        <w:gridCol w:w="708"/>
        <w:gridCol w:w="851"/>
      </w:tblGrid>
      <w:tr w:rsidR="00BC7AC3" w:rsidRPr="00BC7AC3" w:rsidTr="00BC7AC3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2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BC7AC3" w:rsidRPr="00BC7AC3" w:rsidTr="00BC7AC3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2014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2015</w:t>
            </w:r>
          </w:p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2016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Текущий 2017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 2018 год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 2019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 2020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BC7AC3" w:rsidRPr="00BC7AC3" w:rsidTr="00BC7AC3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u w:val="single"/>
                <w:lang w:eastAsia="ru-RU"/>
              </w:rPr>
              <w:t>Задача 2</w:t>
            </w:r>
            <w:r w:rsidRPr="00BC7AC3">
              <w:rPr>
                <w:rFonts w:ascii="Arial" w:eastAsia="Times New Roman" w:hAnsi="Arial" w:cs="Arial"/>
                <w:lang w:eastAsia="ru-RU"/>
              </w:rPr>
              <w:t>. Улучшение материально-технической базы добровольной пожарной дружины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Охват членов добровольной пожарной дружины  обучением способам первичного пожаротушения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3. Организация обучения населения в области гражданской обороны, защиты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0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B47305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 сельсовета                                                                                                                              С.А. Филиппов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858E3"/>
    <w:rsid w:val="004A2FBD"/>
    <w:rsid w:val="004B5869"/>
    <w:rsid w:val="004C002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4514"/>
    <w:rsid w:val="00622777"/>
    <w:rsid w:val="00627D11"/>
    <w:rsid w:val="0069082A"/>
    <w:rsid w:val="00693E6D"/>
    <w:rsid w:val="006A4E12"/>
    <w:rsid w:val="006B215F"/>
    <w:rsid w:val="006B279D"/>
    <w:rsid w:val="006B598A"/>
    <w:rsid w:val="006C6844"/>
    <w:rsid w:val="00702F5A"/>
    <w:rsid w:val="007030A7"/>
    <w:rsid w:val="0076512A"/>
    <w:rsid w:val="00785AD5"/>
    <w:rsid w:val="0079477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860F9"/>
    <w:rsid w:val="008A165C"/>
    <w:rsid w:val="008E17CB"/>
    <w:rsid w:val="00912CE2"/>
    <w:rsid w:val="00A533EA"/>
    <w:rsid w:val="00A623D1"/>
    <w:rsid w:val="00A8374F"/>
    <w:rsid w:val="00AA57A5"/>
    <w:rsid w:val="00B058DD"/>
    <w:rsid w:val="00B36B58"/>
    <w:rsid w:val="00B47305"/>
    <w:rsid w:val="00B63D90"/>
    <w:rsid w:val="00B82713"/>
    <w:rsid w:val="00BA4156"/>
    <w:rsid w:val="00BC1CED"/>
    <w:rsid w:val="00BC7AC3"/>
    <w:rsid w:val="00BD0AAB"/>
    <w:rsid w:val="00BD1457"/>
    <w:rsid w:val="00C355B2"/>
    <w:rsid w:val="00CB08D2"/>
    <w:rsid w:val="00CB2EC3"/>
    <w:rsid w:val="00CF5655"/>
    <w:rsid w:val="00D2653C"/>
    <w:rsid w:val="00D33159"/>
    <w:rsid w:val="00D7546A"/>
    <w:rsid w:val="00D7647D"/>
    <w:rsid w:val="00DA5E5F"/>
    <w:rsid w:val="00DB3A17"/>
    <w:rsid w:val="00DC56A3"/>
    <w:rsid w:val="00DD1F9F"/>
    <w:rsid w:val="00DD6D9E"/>
    <w:rsid w:val="00DD72E1"/>
    <w:rsid w:val="00DF31F6"/>
    <w:rsid w:val="00EA2E0D"/>
    <w:rsid w:val="00EC129B"/>
    <w:rsid w:val="00EF56B0"/>
    <w:rsid w:val="00F17A4C"/>
    <w:rsid w:val="00F343B9"/>
    <w:rsid w:val="00F34958"/>
    <w:rsid w:val="00F41D42"/>
    <w:rsid w:val="00F531A5"/>
    <w:rsid w:val="00F6283B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20</cp:revision>
  <cp:lastPrinted>2017-11-10T03:49:00Z</cp:lastPrinted>
  <dcterms:created xsi:type="dcterms:W3CDTF">2016-11-10T06:55:00Z</dcterms:created>
  <dcterms:modified xsi:type="dcterms:W3CDTF">2017-11-10T03:49:00Z</dcterms:modified>
</cp:coreProperties>
</file>