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77777777" w:rsidR="00293AC1" w:rsidRDefault="00606BE4">
      <w:pPr>
        <w:ind w:firstLine="567"/>
        <w:jc w:val="center"/>
        <w:outlineLvl w:val="0"/>
        <w:rPr>
          <w:rFonts w:ascii="Arial" w:hAnsi="Arial"/>
          <w:b/>
          <w:i/>
          <w:sz w:val="28"/>
          <w:u w:val="single"/>
        </w:rPr>
      </w:pPr>
      <w:r>
        <w:rPr>
          <w:rFonts w:ascii="Arial" w:hAnsi="Arial"/>
          <w:b/>
          <w:sz w:val="28"/>
        </w:rPr>
        <w:t xml:space="preserve">Ответы на вопросы налогоплательщиков по применению налоговых льгот при налогообложении </w:t>
      </w:r>
    </w:p>
    <w:p w14:paraId="02000000" w14:textId="77777777" w:rsidR="00293AC1" w:rsidRDefault="00606BE4">
      <w:pPr>
        <w:ind w:firstLine="567"/>
        <w:jc w:val="center"/>
        <w:outlineLvl w:val="0"/>
        <w:rPr>
          <w:rFonts w:ascii="Arial" w:hAnsi="Arial"/>
          <w:b/>
          <w:i/>
          <w:sz w:val="28"/>
          <w:u w:val="single"/>
        </w:rPr>
      </w:pPr>
      <w:r>
        <w:rPr>
          <w:rFonts w:ascii="Arial" w:hAnsi="Arial"/>
          <w:b/>
          <w:sz w:val="28"/>
        </w:rPr>
        <w:t>имущества физических лиц</w:t>
      </w:r>
    </w:p>
    <w:p w14:paraId="03000000" w14:textId="77777777" w:rsidR="00293AC1" w:rsidRDefault="00293AC1">
      <w:pPr>
        <w:ind w:firstLine="567"/>
        <w:jc w:val="center"/>
        <w:outlineLvl w:val="0"/>
        <w:rPr>
          <w:rFonts w:ascii="Arial" w:hAnsi="Arial"/>
          <w:b/>
          <w:i/>
          <w:sz w:val="28"/>
          <w:u w:val="single"/>
        </w:rPr>
      </w:pPr>
    </w:p>
    <w:p w14:paraId="04000000" w14:textId="77777777" w:rsidR="00293AC1" w:rsidRDefault="00606BE4">
      <w:pPr>
        <w:spacing w:line="240" w:lineRule="auto"/>
        <w:ind w:left="567"/>
        <w:contextualSpacing/>
        <w:jc w:val="both"/>
        <w:rPr>
          <w:rFonts w:ascii="Arial" w:hAnsi="Arial"/>
          <w:b/>
        </w:rPr>
      </w:pPr>
      <w:r>
        <w:rPr>
          <w:rFonts w:ascii="Arial" w:hAnsi="Arial"/>
          <w:b/>
        </w:rPr>
        <w:t>Как можно заявить о праве на получение налоговой льготы по имущественным налогам физических лиц?</w:t>
      </w:r>
    </w:p>
    <w:p w14:paraId="05000000" w14:textId="77777777" w:rsidR="00293AC1" w:rsidRDefault="00606BE4">
      <w:pPr>
        <w:ind w:firstLine="567"/>
        <w:jc w:val="both"/>
        <w:rPr>
          <w:rFonts w:ascii="Arial" w:hAnsi="Arial"/>
        </w:rPr>
      </w:pPr>
      <w:r>
        <w:rPr>
          <w:rFonts w:ascii="Arial" w:hAnsi="Arial"/>
        </w:rPr>
        <w:t xml:space="preserve">Льготы по уплате налога на имущество физических лиц, транспортному и земельному налогам предоставляются на основании заявления. Форма заявления о предоставлении налоговой льготы, порядок ее заполнения, формат представления такого заявления в электронной форме утверждены </w:t>
      </w:r>
      <w:hyperlink r:id="rId6" w:history="1">
        <w:r>
          <w:rPr>
            <w:rStyle w:val="a3"/>
            <w:rFonts w:ascii="Arial" w:hAnsi="Arial"/>
            <w:color w:val="000000"/>
            <w:u w:val="none"/>
          </w:rPr>
          <w:t>приказом ФНС России от 14.11.2017 № ММВ-7-21/897@</w:t>
        </w:r>
      </w:hyperlink>
      <w:r>
        <w:rPr>
          <w:rFonts w:ascii="Arial" w:hAnsi="Arial"/>
        </w:rPr>
        <w:t>. К заявлению налогоплательщики вправе представить документы, подтверждающие право на льготу.</w:t>
      </w:r>
    </w:p>
    <w:p w14:paraId="06000000" w14:textId="77777777" w:rsidR="00293AC1" w:rsidRDefault="00606BE4">
      <w:pPr>
        <w:ind w:firstLine="567"/>
        <w:jc w:val="both"/>
        <w:rPr>
          <w:rFonts w:ascii="Arial" w:hAnsi="Arial"/>
        </w:rPr>
      </w:pPr>
      <w:r>
        <w:rPr>
          <w:rFonts w:ascii="Arial" w:hAnsi="Arial"/>
        </w:rPr>
        <w:t xml:space="preserve">Если право на налоговую льготу возникло в 2019 году впервые, и ранее гражданин не обращался в налоговый орган с заявлением о предоставлении льготы по установленной форме, он может это сделать в 2020 году. </w:t>
      </w:r>
    </w:p>
    <w:p w14:paraId="07000000" w14:textId="7D6C7682" w:rsidR="00293AC1" w:rsidRDefault="00606BE4">
      <w:pPr>
        <w:ind w:firstLine="567"/>
        <w:jc w:val="both"/>
        <w:rPr>
          <w:rFonts w:ascii="Arial" w:hAnsi="Arial"/>
        </w:rPr>
      </w:pPr>
      <w:r w:rsidRPr="00606BE4">
        <w:rPr>
          <w:rFonts w:ascii="Arial" w:hAnsi="Arial"/>
          <w:color w:val="auto"/>
        </w:rPr>
        <w:t xml:space="preserve">Направить заявление можно </w:t>
      </w:r>
      <w:r w:rsidR="00656DB1">
        <w:rPr>
          <w:rFonts w:ascii="Arial" w:hAnsi="Arial"/>
        </w:rPr>
        <w:t>любым удобным способом:</w:t>
      </w:r>
      <w:r w:rsidR="00656DB1">
        <w:rPr>
          <w:rFonts w:ascii="Arial" w:hAnsi="Arial"/>
        </w:rPr>
        <w:t xml:space="preserve"> </w:t>
      </w:r>
      <w:bookmarkStart w:id="0" w:name="_GoBack"/>
      <w:bookmarkEnd w:id="0"/>
      <w:r w:rsidRPr="00606BE4">
        <w:rPr>
          <w:rFonts w:ascii="Arial" w:hAnsi="Arial"/>
          <w:color w:val="auto"/>
        </w:rPr>
        <w:t>через</w:t>
      </w:r>
      <w:r>
        <w:rPr>
          <w:rFonts w:ascii="Arial" w:hAnsi="Arial"/>
        </w:rPr>
        <w:t xml:space="preserve"> «</w:t>
      </w:r>
      <w:hyperlink r:id="rId7" w:history="1">
        <w:r>
          <w:rPr>
            <w:rStyle w:val="a3"/>
            <w:rFonts w:ascii="Arial" w:hAnsi="Arial"/>
            <w:color w:val="000000"/>
            <w:u w:val="none"/>
          </w:rPr>
          <w:t>Личный кабинет налогоплательщика для физических лиц</w:t>
        </w:r>
      </w:hyperlink>
      <w:r>
        <w:rPr>
          <w:rFonts w:ascii="Arial" w:hAnsi="Arial"/>
        </w:rPr>
        <w:t>», по почте или же лично обратиться в любую налоговую инспекцию или отделение МФЦ, уполномоченное принимать такие заявления. Если заявление о предоставлении льготы уже подавалось, но в нём не указывалось, что льгота будет использована в ограниченный период, заново его представлять не требуется.</w:t>
      </w:r>
    </w:p>
    <w:p w14:paraId="08000000" w14:textId="77777777" w:rsidR="00293AC1" w:rsidRDefault="00293AC1">
      <w:pPr>
        <w:ind w:firstLine="567"/>
        <w:jc w:val="both"/>
        <w:rPr>
          <w:rFonts w:ascii="Arial" w:hAnsi="Arial"/>
        </w:rPr>
      </w:pPr>
    </w:p>
    <w:p w14:paraId="09000000" w14:textId="77777777" w:rsidR="00293AC1" w:rsidRDefault="00606BE4">
      <w:pPr>
        <w:spacing w:line="240" w:lineRule="auto"/>
        <w:ind w:left="567"/>
        <w:contextualSpacing/>
        <w:jc w:val="both"/>
        <w:rPr>
          <w:rFonts w:ascii="Arial" w:hAnsi="Arial"/>
          <w:b/>
        </w:rPr>
      </w:pPr>
      <w:r>
        <w:rPr>
          <w:rFonts w:ascii="Arial" w:hAnsi="Arial"/>
          <w:b/>
        </w:rPr>
        <w:t>Что значит экстерриториальный принцип обслуживания физических лиц по вопросам налогообложения имущества?</w:t>
      </w:r>
    </w:p>
    <w:p w14:paraId="0A000000" w14:textId="77777777" w:rsidR="00293AC1" w:rsidRDefault="00606BE4">
      <w:pPr>
        <w:ind w:firstLine="567"/>
        <w:jc w:val="both"/>
        <w:rPr>
          <w:rFonts w:ascii="Arial" w:hAnsi="Arial"/>
        </w:rPr>
      </w:pPr>
      <w:r>
        <w:rPr>
          <w:rFonts w:ascii="Arial" w:hAnsi="Arial"/>
        </w:rPr>
        <w:t>Экстерриториальное взаимодействие позволит создать удобные условия для обращения в налоговые органы независимо от того, где находится объект налогообложения или зарегистрирован налогоплательщик.</w:t>
      </w:r>
    </w:p>
    <w:p w14:paraId="0B000000" w14:textId="77777777" w:rsidR="00293AC1" w:rsidRDefault="00606BE4">
      <w:pPr>
        <w:ind w:firstLine="567"/>
        <w:jc w:val="both"/>
        <w:rPr>
          <w:rFonts w:ascii="Arial" w:hAnsi="Arial"/>
        </w:rPr>
      </w:pPr>
      <w:r>
        <w:rPr>
          <w:rFonts w:ascii="Arial" w:hAnsi="Arial"/>
        </w:rPr>
        <w:t>Таким образом, в любом налоговом органе можно:</w:t>
      </w:r>
    </w:p>
    <w:p w14:paraId="0C000000" w14:textId="77777777" w:rsidR="00293AC1" w:rsidRDefault="00606BE4">
      <w:pPr>
        <w:numPr>
          <w:ilvl w:val="0"/>
          <w:numId w:val="1"/>
        </w:numPr>
        <w:ind w:left="0" w:firstLine="567"/>
        <w:jc w:val="both"/>
        <w:rPr>
          <w:rFonts w:ascii="Arial" w:hAnsi="Arial"/>
        </w:rPr>
      </w:pPr>
      <w:r>
        <w:rPr>
          <w:rFonts w:ascii="Arial" w:hAnsi="Arial"/>
        </w:rPr>
        <w:t>подать документы, касающиеся налогообложения имущества физических лиц;</w:t>
      </w:r>
    </w:p>
    <w:p w14:paraId="0D000000" w14:textId="77777777" w:rsidR="00293AC1" w:rsidRDefault="00606BE4">
      <w:pPr>
        <w:numPr>
          <w:ilvl w:val="0"/>
          <w:numId w:val="1"/>
        </w:numPr>
        <w:ind w:left="0" w:firstLine="567"/>
        <w:jc w:val="both"/>
        <w:rPr>
          <w:rFonts w:ascii="Arial" w:hAnsi="Arial"/>
        </w:rPr>
      </w:pPr>
      <w:r>
        <w:rPr>
          <w:rFonts w:ascii="Arial" w:hAnsi="Arial"/>
        </w:rPr>
        <w:t>подать заявление о предоставлении льготы по имущественным налогам или уведомление о выбранных объектах, в отношении которых предоставляется льгота по налогу на имущество физлиц;</w:t>
      </w:r>
    </w:p>
    <w:p w14:paraId="0E000000" w14:textId="77777777" w:rsidR="00293AC1" w:rsidRDefault="00606BE4">
      <w:pPr>
        <w:numPr>
          <w:ilvl w:val="0"/>
          <w:numId w:val="1"/>
        </w:numPr>
        <w:ind w:left="0" w:firstLine="567"/>
        <w:jc w:val="both"/>
        <w:rPr>
          <w:rFonts w:ascii="Arial" w:hAnsi="Arial"/>
        </w:rPr>
      </w:pPr>
      <w:r>
        <w:rPr>
          <w:rFonts w:ascii="Arial" w:hAnsi="Arial"/>
        </w:rPr>
        <w:t>получить копию налогового уведомления, направленного налогоплательщику, и сообщить о наличии недвижимости и (или) транспортных средств, признаваемых объектами налогообложения;</w:t>
      </w:r>
    </w:p>
    <w:p w14:paraId="0F000000" w14:textId="77777777" w:rsidR="00293AC1" w:rsidRDefault="00606BE4">
      <w:pPr>
        <w:numPr>
          <w:ilvl w:val="0"/>
          <w:numId w:val="1"/>
        </w:numPr>
        <w:ind w:left="0" w:firstLine="567"/>
        <w:jc w:val="both"/>
        <w:rPr>
          <w:rFonts w:ascii="Arial" w:hAnsi="Arial"/>
        </w:rPr>
      </w:pPr>
      <w:r>
        <w:rPr>
          <w:rFonts w:ascii="Arial" w:hAnsi="Arial"/>
        </w:rPr>
        <w:t>подать обращение об уточнении содержания налогового уведомления, полученного налогоплательщиком;</w:t>
      </w:r>
    </w:p>
    <w:p w14:paraId="10000000" w14:textId="77777777" w:rsidR="00293AC1" w:rsidRDefault="00606BE4">
      <w:pPr>
        <w:ind w:firstLine="567"/>
        <w:jc w:val="both"/>
        <w:rPr>
          <w:rFonts w:ascii="Arial" w:hAnsi="Arial"/>
        </w:rPr>
      </w:pPr>
      <w:r>
        <w:rPr>
          <w:rFonts w:ascii="Arial" w:hAnsi="Arial"/>
        </w:rPr>
        <w:t>Получить результаты рассмотрения вышеперечисленных документов можно в любом налоговом органе или по почте - по выбору налогоплательщика. Пользователям личного кабинета налогоплательщика результаты рассмотрения обращений направляются через личный кабинет.</w:t>
      </w:r>
    </w:p>
    <w:p w14:paraId="11000000" w14:textId="77777777" w:rsidR="00293AC1" w:rsidRDefault="00606BE4">
      <w:pPr>
        <w:ind w:firstLine="567"/>
        <w:jc w:val="both"/>
        <w:rPr>
          <w:rFonts w:ascii="Arial" w:hAnsi="Arial"/>
        </w:rPr>
      </w:pPr>
      <w:r>
        <w:rPr>
          <w:rFonts w:ascii="Arial" w:hAnsi="Arial"/>
        </w:rPr>
        <w:t>Экстерриториальное взаимодействие с налогоплательщиками позволит создать удобные условия для обращения в налоговые органы независимо от того, где находится объект налогообложения или зарегистрирован налогоплательщик.</w:t>
      </w:r>
    </w:p>
    <w:p w14:paraId="12000000" w14:textId="77777777" w:rsidR="00293AC1" w:rsidRDefault="00293AC1">
      <w:pPr>
        <w:ind w:firstLine="567"/>
        <w:jc w:val="both"/>
        <w:rPr>
          <w:rFonts w:ascii="Arial" w:hAnsi="Arial"/>
        </w:rPr>
      </w:pPr>
    </w:p>
    <w:p w14:paraId="13000000" w14:textId="77777777" w:rsidR="00293AC1" w:rsidRDefault="00606BE4">
      <w:pPr>
        <w:ind w:left="567"/>
        <w:jc w:val="both"/>
        <w:rPr>
          <w:rFonts w:ascii="Arial" w:hAnsi="Arial"/>
          <w:b/>
        </w:rPr>
      </w:pPr>
      <w:r>
        <w:rPr>
          <w:rFonts w:ascii="Arial" w:hAnsi="Arial"/>
          <w:b/>
        </w:rPr>
        <w:lastRenderedPageBreak/>
        <w:t xml:space="preserve">Какие льготы предусмотрены пенсионерам и лицам </w:t>
      </w:r>
      <w:proofErr w:type="spellStart"/>
      <w:r>
        <w:rPr>
          <w:rFonts w:ascii="Arial" w:hAnsi="Arial"/>
          <w:b/>
        </w:rPr>
        <w:t>предпенсионного</w:t>
      </w:r>
      <w:proofErr w:type="spellEnd"/>
      <w:r>
        <w:rPr>
          <w:rFonts w:ascii="Arial" w:hAnsi="Arial"/>
          <w:b/>
        </w:rPr>
        <w:t xml:space="preserve"> возраста?</w:t>
      </w:r>
    </w:p>
    <w:p w14:paraId="14000000" w14:textId="77777777" w:rsidR="00293AC1" w:rsidRDefault="00606BE4">
      <w:pPr>
        <w:ind w:firstLine="567"/>
        <w:jc w:val="both"/>
        <w:rPr>
          <w:rFonts w:ascii="Arial" w:hAnsi="Arial"/>
        </w:rPr>
      </w:pPr>
      <w:r>
        <w:rPr>
          <w:rFonts w:ascii="Arial" w:hAnsi="Arial"/>
        </w:rPr>
        <w:t xml:space="preserve">В Красноярском крае более 400 тысяч пенсионеров ежегодно пользуются налоговыми льготами в отношении принадлежащего им недвижимого имущества. </w:t>
      </w:r>
    </w:p>
    <w:p w14:paraId="15000000" w14:textId="77777777" w:rsidR="00293AC1" w:rsidRDefault="00606BE4">
      <w:pPr>
        <w:ind w:firstLine="567"/>
        <w:jc w:val="both"/>
        <w:rPr>
          <w:rFonts w:ascii="Arial" w:hAnsi="Arial"/>
        </w:rPr>
      </w:pPr>
      <w:r>
        <w:rPr>
          <w:rFonts w:ascii="Arial" w:hAnsi="Arial"/>
        </w:rPr>
        <w:t>Законодательство о налогах предусматривает различный перечень льгот, которые предоставляются пенсионерам при налогообложении имущества.</w:t>
      </w:r>
    </w:p>
    <w:p w14:paraId="16000000" w14:textId="77777777" w:rsidR="00293AC1" w:rsidRDefault="00606BE4">
      <w:pPr>
        <w:spacing w:line="240" w:lineRule="auto"/>
        <w:ind w:firstLine="567"/>
        <w:contextualSpacing/>
        <w:jc w:val="both"/>
        <w:rPr>
          <w:rFonts w:ascii="Arial" w:hAnsi="Arial"/>
        </w:rPr>
      </w:pPr>
      <w:r>
        <w:rPr>
          <w:rFonts w:ascii="Arial" w:hAnsi="Arial"/>
        </w:rPr>
        <w:t xml:space="preserve">В соответствии с законом Красноярского края от 08.11.2007 №3-676 пенсионеры освобождаются от уплаты транспортного налога за одно транспортное средство мощностью двигателя до 100 лошадиных сил. </w:t>
      </w:r>
    </w:p>
    <w:p w14:paraId="17000000" w14:textId="77777777" w:rsidR="00293AC1" w:rsidRDefault="00606BE4">
      <w:pPr>
        <w:ind w:firstLine="567"/>
        <w:jc w:val="both"/>
        <w:rPr>
          <w:rFonts w:ascii="Arial" w:hAnsi="Arial"/>
        </w:rPr>
      </w:pPr>
      <w:r>
        <w:rPr>
          <w:rFonts w:ascii="Arial" w:hAnsi="Arial"/>
        </w:rPr>
        <w:t>Также у пенсионеров есть право уплачивать транспортный налог в размере 10 процентов по отдельным транспортным средствам при соблюдении отдельных условий.</w:t>
      </w:r>
    </w:p>
    <w:p w14:paraId="18000000" w14:textId="77777777" w:rsidR="00293AC1" w:rsidRDefault="00606BE4">
      <w:pPr>
        <w:spacing w:line="240" w:lineRule="auto"/>
        <w:ind w:firstLine="567"/>
        <w:contextualSpacing/>
        <w:jc w:val="both"/>
        <w:rPr>
          <w:rFonts w:ascii="Arial" w:hAnsi="Arial"/>
        </w:rPr>
      </w:pPr>
      <w:r>
        <w:rPr>
          <w:rFonts w:ascii="Arial" w:hAnsi="Arial"/>
        </w:rPr>
        <w:t>Льгота предоставляется только по следующим категориям транспортных средств:</w:t>
      </w:r>
    </w:p>
    <w:p w14:paraId="19000000" w14:textId="77777777" w:rsidR="00293AC1" w:rsidRDefault="00606BE4">
      <w:pPr>
        <w:numPr>
          <w:ilvl w:val="0"/>
          <w:numId w:val="2"/>
        </w:numPr>
        <w:spacing w:line="240" w:lineRule="auto"/>
        <w:ind w:left="0" w:firstLine="567"/>
        <w:contextualSpacing/>
        <w:jc w:val="both"/>
        <w:rPr>
          <w:rFonts w:ascii="Arial" w:hAnsi="Arial"/>
        </w:rPr>
      </w:pPr>
      <w:r>
        <w:rPr>
          <w:rFonts w:ascii="Arial" w:hAnsi="Arial"/>
        </w:rPr>
        <w:t xml:space="preserve">автомобили легковые с мощностью двигателя до 150 </w:t>
      </w:r>
      <w:proofErr w:type="spellStart"/>
      <w:r>
        <w:rPr>
          <w:rFonts w:ascii="Arial" w:hAnsi="Arial"/>
        </w:rPr>
        <w:t>л.</w:t>
      </w:r>
      <w:proofErr w:type="gramStart"/>
      <w:r>
        <w:rPr>
          <w:rFonts w:ascii="Arial" w:hAnsi="Arial"/>
        </w:rPr>
        <w:t>с</w:t>
      </w:r>
      <w:proofErr w:type="spellEnd"/>
      <w:proofErr w:type="gramEnd"/>
      <w:r>
        <w:rPr>
          <w:rFonts w:ascii="Arial" w:hAnsi="Arial"/>
        </w:rPr>
        <w:t>. включительно;</w:t>
      </w:r>
    </w:p>
    <w:p w14:paraId="1A000000" w14:textId="77777777" w:rsidR="00293AC1" w:rsidRDefault="00606BE4">
      <w:pPr>
        <w:numPr>
          <w:ilvl w:val="0"/>
          <w:numId w:val="2"/>
        </w:numPr>
        <w:spacing w:line="240" w:lineRule="auto"/>
        <w:ind w:left="0" w:firstLine="567"/>
        <w:contextualSpacing/>
        <w:jc w:val="both"/>
        <w:rPr>
          <w:rFonts w:ascii="Arial" w:hAnsi="Arial"/>
        </w:rPr>
      </w:pPr>
      <w:r>
        <w:rPr>
          <w:rFonts w:ascii="Arial" w:hAnsi="Arial"/>
        </w:rPr>
        <w:t xml:space="preserve">мотоциклы и мотороллеры с мощностью двигателя до 40 </w:t>
      </w:r>
      <w:proofErr w:type="spellStart"/>
      <w:r>
        <w:rPr>
          <w:rFonts w:ascii="Arial" w:hAnsi="Arial"/>
        </w:rPr>
        <w:t>л.</w:t>
      </w:r>
      <w:proofErr w:type="gramStart"/>
      <w:r>
        <w:rPr>
          <w:rFonts w:ascii="Arial" w:hAnsi="Arial"/>
        </w:rPr>
        <w:t>с</w:t>
      </w:r>
      <w:proofErr w:type="spellEnd"/>
      <w:proofErr w:type="gramEnd"/>
      <w:r>
        <w:rPr>
          <w:rFonts w:ascii="Arial" w:hAnsi="Arial"/>
        </w:rPr>
        <w:t>. включительно;</w:t>
      </w:r>
    </w:p>
    <w:p w14:paraId="1B000000" w14:textId="77777777" w:rsidR="00293AC1" w:rsidRDefault="00606BE4">
      <w:pPr>
        <w:numPr>
          <w:ilvl w:val="0"/>
          <w:numId w:val="2"/>
        </w:numPr>
        <w:spacing w:line="240" w:lineRule="auto"/>
        <w:ind w:left="0" w:firstLine="567"/>
        <w:contextualSpacing/>
        <w:jc w:val="both"/>
        <w:rPr>
          <w:rFonts w:ascii="Arial" w:hAnsi="Arial"/>
        </w:rPr>
      </w:pPr>
      <w:r>
        <w:rPr>
          <w:rFonts w:ascii="Arial" w:hAnsi="Arial"/>
        </w:rPr>
        <w:t>другие самоходные транспортные средства, машины и механизмы на пневматическом и гусеничном ходу;</w:t>
      </w:r>
    </w:p>
    <w:p w14:paraId="1C000000" w14:textId="77777777" w:rsidR="00293AC1" w:rsidRDefault="00606BE4">
      <w:pPr>
        <w:numPr>
          <w:ilvl w:val="0"/>
          <w:numId w:val="2"/>
        </w:numPr>
        <w:spacing w:line="240" w:lineRule="auto"/>
        <w:ind w:left="0" w:firstLine="567"/>
        <w:contextualSpacing/>
        <w:jc w:val="both"/>
        <w:rPr>
          <w:rFonts w:ascii="Arial" w:hAnsi="Arial"/>
        </w:rPr>
      </w:pPr>
      <w:r>
        <w:rPr>
          <w:rFonts w:ascii="Arial" w:hAnsi="Arial"/>
        </w:rPr>
        <w:t xml:space="preserve">снегоходы, мотосани с мощностью двигателя до 50 </w:t>
      </w:r>
      <w:proofErr w:type="spellStart"/>
      <w:r>
        <w:rPr>
          <w:rFonts w:ascii="Arial" w:hAnsi="Arial"/>
        </w:rPr>
        <w:t>л.</w:t>
      </w:r>
      <w:proofErr w:type="gramStart"/>
      <w:r>
        <w:rPr>
          <w:rFonts w:ascii="Arial" w:hAnsi="Arial"/>
        </w:rPr>
        <w:t>с</w:t>
      </w:r>
      <w:proofErr w:type="spellEnd"/>
      <w:proofErr w:type="gramEnd"/>
      <w:r>
        <w:rPr>
          <w:rFonts w:ascii="Arial" w:hAnsi="Arial"/>
        </w:rPr>
        <w:t>. включительно;</w:t>
      </w:r>
    </w:p>
    <w:p w14:paraId="1D000000" w14:textId="77777777" w:rsidR="00293AC1" w:rsidRDefault="00606BE4">
      <w:pPr>
        <w:numPr>
          <w:ilvl w:val="0"/>
          <w:numId w:val="2"/>
        </w:numPr>
        <w:spacing w:line="240" w:lineRule="auto"/>
        <w:ind w:left="0" w:firstLine="567"/>
        <w:contextualSpacing/>
        <w:jc w:val="both"/>
        <w:rPr>
          <w:rFonts w:ascii="Arial" w:hAnsi="Arial"/>
        </w:rPr>
      </w:pPr>
      <w:r>
        <w:rPr>
          <w:rFonts w:ascii="Arial" w:hAnsi="Arial"/>
        </w:rPr>
        <w:t xml:space="preserve">катера, моторные лодки и другие водные транспортные средства с мощностью двигателя до 100 </w:t>
      </w:r>
      <w:proofErr w:type="spellStart"/>
      <w:r>
        <w:rPr>
          <w:rFonts w:ascii="Arial" w:hAnsi="Arial"/>
        </w:rPr>
        <w:t>л.</w:t>
      </w:r>
      <w:proofErr w:type="gramStart"/>
      <w:r>
        <w:rPr>
          <w:rFonts w:ascii="Arial" w:hAnsi="Arial"/>
        </w:rPr>
        <w:t>с</w:t>
      </w:r>
      <w:proofErr w:type="spellEnd"/>
      <w:proofErr w:type="gramEnd"/>
      <w:r>
        <w:rPr>
          <w:rFonts w:ascii="Arial" w:hAnsi="Arial"/>
        </w:rPr>
        <w:t>. включительно.</w:t>
      </w:r>
    </w:p>
    <w:p w14:paraId="1E000000" w14:textId="77777777" w:rsidR="00293AC1" w:rsidRDefault="00606BE4">
      <w:pPr>
        <w:ind w:firstLine="567"/>
        <w:jc w:val="both"/>
        <w:rPr>
          <w:rFonts w:ascii="Arial" w:hAnsi="Arial"/>
        </w:rPr>
      </w:pPr>
      <w:r>
        <w:rPr>
          <w:rFonts w:ascii="Arial" w:hAnsi="Arial"/>
        </w:rPr>
        <w:t xml:space="preserve">При этом льготному налогообложению </w:t>
      </w:r>
      <w:proofErr w:type="gramStart"/>
      <w:r>
        <w:rPr>
          <w:rFonts w:ascii="Arial" w:hAnsi="Arial"/>
        </w:rPr>
        <w:t>подлежит не более двух единиц</w:t>
      </w:r>
      <w:proofErr w:type="gramEnd"/>
      <w:r>
        <w:rPr>
          <w:rFonts w:ascii="Arial" w:hAnsi="Arial"/>
        </w:rPr>
        <w:t xml:space="preserve"> транспортных средств, определяемых на усмотрение налогоплательщика. Не предоставляется льгота на два транспортных средства одного вида, например, на два легковых автомобиля и т.д.</w:t>
      </w:r>
    </w:p>
    <w:p w14:paraId="1F000000" w14:textId="77777777" w:rsidR="00293AC1" w:rsidRDefault="00606BE4">
      <w:pPr>
        <w:spacing w:line="240" w:lineRule="auto"/>
        <w:ind w:firstLine="567"/>
        <w:contextualSpacing/>
        <w:jc w:val="both"/>
        <w:rPr>
          <w:rFonts w:ascii="Arial" w:hAnsi="Arial"/>
        </w:rPr>
      </w:pPr>
      <w:r>
        <w:rPr>
          <w:rFonts w:ascii="Arial" w:hAnsi="Arial"/>
        </w:rPr>
        <w:t>Пенсионеры также освобождены от уплаты налога на имущество физлиц за один объект недвижимости определенного вида, не используемый в предпринимательской деятельности (</w:t>
      </w:r>
      <w:hyperlink r:id="rId8" w:history="1">
        <w:r>
          <w:rPr>
            <w:rFonts w:ascii="Arial" w:hAnsi="Arial"/>
          </w:rPr>
          <w:t>ст. 407 НК РФ</w:t>
        </w:r>
      </w:hyperlink>
      <w:r>
        <w:rPr>
          <w:rFonts w:ascii="Arial" w:hAnsi="Arial"/>
        </w:rPr>
        <w:t xml:space="preserve">). Таким объектом может быть жилой дом или его часть, квартира или комната, гараж или </w:t>
      </w:r>
      <w:proofErr w:type="spellStart"/>
      <w:r>
        <w:rPr>
          <w:rFonts w:ascii="Arial" w:hAnsi="Arial"/>
        </w:rPr>
        <w:t>машино</w:t>
      </w:r>
      <w:proofErr w:type="spellEnd"/>
      <w:r>
        <w:rPr>
          <w:rFonts w:ascii="Arial" w:hAnsi="Arial"/>
        </w:rPr>
        <w:t xml:space="preserve">-место, </w:t>
      </w:r>
      <w:proofErr w:type="spellStart"/>
      <w:r>
        <w:rPr>
          <w:rFonts w:ascii="Arial" w:hAnsi="Arial"/>
        </w:rPr>
        <w:t>хозпростройка</w:t>
      </w:r>
      <w:proofErr w:type="spellEnd"/>
      <w:r>
        <w:rPr>
          <w:rFonts w:ascii="Arial" w:hAnsi="Arial"/>
        </w:rPr>
        <w:t xml:space="preserve"> площадью не более 50 кв. м.</w:t>
      </w:r>
    </w:p>
    <w:p w14:paraId="20000000" w14:textId="77777777" w:rsidR="00293AC1" w:rsidRDefault="00606BE4">
      <w:pPr>
        <w:ind w:firstLine="567"/>
        <w:jc w:val="both"/>
        <w:rPr>
          <w:rFonts w:ascii="Arial" w:hAnsi="Arial"/>
        </w:rPr>
      </w:pPr>
      <w:r>
        <w:rPr>
          <w:rFonts w:ascii="Arial" w:hAnsi="Arial"/>
        </w:rPr>
        <w:t>При расчете земельного налога с налогового периода 2017 года пенсионеры пользуются налоговым вычетом в размере кадастровой стоимости 600 кв. м от общей площади одного земельного участка независимо от его места нахождения, разрешённого использования и площади (</w:t>
      </w:r>
      <w:hyperlink r:id="rId9" w:history="1">
        <w:r>
          <w:rPr>
            <w:rFonts w:ascii="Arial" w:hAnsi="Arial"/>
          </w:rPr>
          <w:t>ст. 391 НК РФ</w:t>
        </w:r>
      </w:hyperlink>
      <w:r>
        <w:rPr>
          <w:rFonts w:ascii="Arial" w:hAnsi="Arial"/>
        </w:rPr>
        <w:t>).</w:t>
      </w:r>
    </w:p>
    <w:p w14:paraId="21000000" w14:textId="77777777" w:rsidR="00293AC1" w:rsidRDefault="00606BE4">
      <w:pPr>
        <w:spacing w:line="240" w:lineRule="auto"/>
        <w:ind w:firstLine="567"/>
        <w:contextualSpacing/>
        <w:jc w:val="both"/>
        <w:rPr>
          <w:rFonts w:ascii="Arial" w:hAnsi="Arial"/>
        </w:rPr>
      </w:pPr>
      <w:r>
        <w:rPr>
          <w:rFonts w:ascii="Arial" w:hAnsi="Arial"/>
        </w:rPr>
        <w:t xml:space="preserve">Налоговые льготы по налогу на имущество физических лиц и земельному налогу могут быть расширены муниципальными нормативными актами: например, налоговый вычет может быть предоставлен на 700 кв. м от площади земельного участка, или льгота по налогу на имущество физлиц может быть распространена на все квартиры пенсионеров. </w:t>
      </w:r>
    </w:p>
    <w:p w14:paraId="22000000" w14:textId="77777777" w:rsidR="00293AC1" w:rsidRDefault="00606BE4">
      <w:pPr>
        <w:tabs>
          <w:tab w:val="left" w:pos="0"/>
          <w:tab w:val="left" w:pos="284"/>
        </w:tabs>
        <w:spacing w:line="240" w:lineRule="auto"/>
        <w:ind w:firstLine="567"/>
        <w:contextualSpacing/>
        <w:jc w:val="both"/>
        <w:rPr>
          <w:rFonts w:ascii="Arial" w:hAnsi="Arial"/>
          <w:color w:val="FF0000"/>
        </w:rPr>
      </w:pPr>
      <w:r>
        <w:rPr>
          <w:rFonts w:ascii="Arial" w:hAnsi="Arial"/>
          <w:color w:val="FF0000"/>
        </w:rPr>
        <w:t xml:space="preserve">С информацией о дополнительных льготах по местным налогам можно ознакомиться на официальном сайте </w:t>
      </w:r>
      <w:hyperlink r:id="rId10" w:history="1">
        <w:r>
          <w:rPr>
            <w:rStyle w:val="a3"/>
            <w:rFonts w:ascii="Arial" w:hAnsi="Arial"/>
            <w:color w:val="FF0000"/>
            <w:u w:val="none"/>
          </w:rPr>
          <w:t>www.nalog.ru</w:t>
        </w:r>
      </w:hyperlink>
      <w:r>
        <w:rPr>
          <w:rFonts w:ascii="Arial" w:hAnsi="Arial"/>
          <w:color w:val="FF0000"/>
        </w:rPr>
        <w:t xml:space="preserve"> в разделе «</w:t>
      </w:r>
      <w:hyperlink r:id="rId11" w:history="1">
        <w:r>
          <w:rPr>
            <w:rFonts w:ascii="Arial" w:hAnsi="Arial"/>
            <w:color w:val="FF0000"/>
          </w:rPr>
          <w:t>Справочная информация о ставках и льготах по имущественным налогам</w:t>
        </w:r>
      </w:hyperlink>
      <w:r>
        <w:rPr>
          <w:rFonts w:ascii="Arial" w:hAnsi="Arial"/>
          <w:color w:val="FF0000"/>
        </w:rPr>
        <w:t>».</w:t>
      </w:r>
    </w:p>
    <w:p w14:paraId="23000000" w14:textId="77777777" w:rsidR="00293AC1" w:rsidRDefault="00293AC1">
      <w:pPr>
        <w:tabs>
          <w:tab w:val="left" w:pos="0"/>
        </w:tabs>
        <w:ind w:firstLine="567"/>
        <w:jc w:val="both"/>
        <w:rPr>
          <w:rFonts w:ascii="Arial" w:hAnsi="Arial"/>
          <w:color w:val="FF0000"/>
        </w:rPr>
      </w:pPr>
    </w:p>
    <w:p w14:paraId="24000000" w14:textId="77777777" w:rsidR="00293AC1" w:rsidRDefault="00606BE4">
      <w:pPr>
        <w:spacing w:line="240" w:lineRule="auto"/>
        <w:ind w:firstLine="567"/>
        <w:contextualSpacing/>
        <w:jc w:val="both"/>
        <w:rPr>
          <w:rFonts w:ascii="Arial" w:hAnsi="Arial"/>
          <w:b/>
        </w:rPr>
      </w:pPr>
      <w:r>
        <w:rPr>
          <w:rFonts w:ascii="Arial" w:hAnsi="Arial"/>
          <w:b/>
        </w:rPr>
        <w:t>Какие дополнительные льготы по налогу на имущество физических лиц получат многодетные семьи?</w:t>
      </w:r>
    </w:p>
    <w:p w14:paraId="25000000" w14:textId="77777777" w:rsidR="00293AC1" w:rsidRDefault="00606BE4">
      <w:pPr>
        <w:ind w:firstLine="567"/>
        <w:jc w:val="both"/>
        <w:rPr>
          <w:rFonts w:ascii="Arial" w:hAnsi="Arial"/>
        </w:rPr>
      </w:pPr>
      <w:r>
        <w:rPr>
          <w:rFonts w:ascii="Arial" w:hAnsi="Arial"/>
        </w:rPr>
        <w:t xml:space="preserve">В 2020 году (при расчете налога на имущество физических лиц за 2019 год) многодетные родители, имеющие трех и более несовершеннолетних детей, впервые получат право на дополнительные налоговые вычеты. Они уменьшат размер налога на кадастровую стоимость 5 квадратных метров общей площади квартиры, комнаты и 7 квадратных метров общей площади жилого дома в расчете на каждого несовершеннолетнего ребенка. Так, если в семье трое детей и у </w:t>
      </w:r>
      <w:r>
        <w:rPr>
          <w:rFonts w:ascii="Arial" w:hAnsi="Arial"/>
        </w:rPr>
        <w:lastRenderedPageBreak/>
        <w:t>одного из родителей в собственности жилой дом, то 21 квадратный метр дома дополнительно не будет облагаться налогом. Если речь идет о квартире, то к необлагаемой площади прибавится 15 квадратных метров.</w:t>
      </w:r>
    </w:p>
    <w:p w14:paraId="26000000" w14:textId="77777777" w:rsidR="00293AC1" w:rsidRDefault="00293AC1">
      <w:pPr>
        <w:ind w:firstLine="567"/>
        <w:jc w:val="both"/>
        <w:rPr>
          <w:rFonts w:ascii="Arial" w:hAnsi="Arial"/>
        </w:rPr>
      </w:pPr>
    </w:p>
    <w:p w14:paraId="27000000" w14:textId="77777777" w:rsidR="00293AC1" w:rsidRDefault="00606BE4">
      <w:pPr>
        <w:ind w:firstLine="567"/>
        <w:jc w:val="both"/>
        <w:rPr>
          <w:rFonts w:ascii="Arial" w:hAnsi="Arial"/>
          <w:b/>
        </w:rPr>
      </w:pPr>
      <w:proofErr w:type="gramStart"/>
      <w:r>
        <w:rPr>
          <w:rFonts w:ascii="Arial" w:hAnsi="Arial"/>
          <w:b/>
        </w:rPr>
        <w:t xml:space="preserve">По каким по имущественным налогам физических лиц предусмотрен </w:t>
      </w:r>
      <w:proofErr w:type="spellStart"/>
      <w:r>
        <w:rPr>
          <w:rFonts w:ascii="Arial" w:hAnsi="Arial"/>
          <w:b/>
        </w:rPr>
        <w:t>беззаявительный</w:t>
      </w:r>
      <w:proofErr w:type="spellEnd"/>
      <w:r>
        <w:rPr>
          <w:rFonts w:ascii="Arial" w:hAnsi="Arial"/>
          <w:b/>
        </w:rPr>
        <w:t xml:space="preserve"> порядок предоставления льгот?</w:t>
      </w:r>
      <w:proofErr w:type="gramEnd"/>
    </w:p>
    <w:p w14:paraId="28000000" w14:textId="77777777" w:rsidR="00293AC1" w:rsidRDefault="00606BE4">
      <w:pPr>
        <w:ind w:firstLine="567"/>
        <w:jc w:val="both"/>
        <w:rPr>
          <w:rFonts w:ascii="Arial" w:hAnsi="Arial"/>
        </w:rPr>
      </w:pPr>
      <w:r>
        <w:rPr>
          <w:rFonts w:ascii="Arial" w:hAnsi="Arial"/>
        </w:rPr>
        <w:t xml:space="preserve">В 2019 году при расчете земельного налога и налога на имущество физических лиц налоговая служба впервые применила </w:t>
      </w:r>
      <w:proofErr w:type="spellStart"/>
      <w:r>
        <w:rPr>
          <w:rFonts w:ascii="Arial" w:hAnsi="Arial"/>
        </w:rPr>
        <w:t>беззаявительный</w:t>
      </w:r>
      <w:proofErr w:type="spellEnd"/>
      <w:r>
        <w:rPr>
          <w:rFonts w:ascii="Arial" w:hAnsi="Arial"/>
        </w:rPr>
        <w:t xml:space="preserve"> (автоматический) порядок предоставления налоговых льгот для таких категорий граждан как пенсионеры, инвалиды и лица, имеющие трех и более несовершеннолетних детей. Льготы были предоставлены на основании имеющейся у налогового органа информации, а также сведений, полученных из Пенсионного фонда России, органов социальной защиты населения. Новация позволила заметно сократить количество обращений налогоплательщиков по вопросам предоставления льгот. Эксперимент был признан удачным. Такой механизм предоставления налоговых льгот с 2020 года распространен на владельцев транспортных средств (им также не придется подавать заявление на льготу, если у налоговых органов уже имеется информация о льготнике, полученная в рамках межведомственного взаимодействия от иных органов (организаций)).</w:t>
      </w:r>
    </w:p>
    <w:p w14:paraId="29000000" w14:textId="77777777" w:rsidR="00293AC1" w:rsidRDefault="00293AC1">
      <w:pPr>
        <w:ind w:firstLine="567"/>
        <w:jc w:val="both"/>
        <w:rPr>
          <w:rFonts w:ascii="Arial" w:hAnsi="Arial"/>
        </w:rPr>
      </w:pPr>
    </w:p>
    <w:p w14:paraId="2A000000" w14:textId="77777777" w:rsidR="00293AC1" w:rsidRDefault="00606BE4">
      <w:pPr>
        <w:ind w:firstLine="709"/>
        <w:jc w:val="both"/>
        <w:rPr>
          <w:rFonts w:ascii="Arial" w:hAnsi="Arial"/>
          <w:b/>
        </w:rPr>
      </w:pPr>
      <w:r>
        <w:rPr>
          <w:rFonts w:ascii="Arial" w:hAnsi="Arial"/>
          <w:b/>
        </w:rPr>
        <w:t>Будет ли при расчете транспортного налога учтена льгота в отношении транспортных средств, имеющих разрешенную максимальную массу свыше 12 тонн?</w:t>
      </w:r>
    </w:p>
    <w:p w14:paraId="2B000000" w14:textId="77777777" w:rsidR="00293AC1" w:rsidRDefault="00606BE4">
      <w:pPr>
        <w:ind w:firstLine="709"/>
        <w:jc w:val="both"/>
        <w:rPr>
          <w:rFonts w:ascii="Arial" w:hAnsi="Arial"/>
        </w:rPr>
      </w:pPr>
      <w:r>
        <w:rPr>
          <w:rFonts w:ascii="Arial" w:hAnsi="Arial"/>
        </w:rPr>
        <w:t>Отменены налоговые преференции для налогоплательщиков транспортного налога, уплачивающих плату в счет возмещения вреда, причиняемого автомобильным дорогам общего пользования федерального значения, в отношении транспортных средств, имеющих разрешенную максимальную массу свыше 12 тонн.</w:t>
      </w:r>
    </w:p>
    <w:p w14:paraId="2C000000" w14:textId="77777777" w:rsidR="00293AC1" w:rsidRDefault="00606BE4">
      <w:pPr>
        <w:ind w:firstLine="709"/>
        <w:jc w:val="both"/>
        <w:rPr>
          <w:rFonts w:ascii="Arial" w:hAnsi="Arial"/>
        </w:rPr>
      </w:pPr>
      <w:r>
        <w:rPr>
          <w:rFonts w:ascii="Arial" w:hAnsi="Arial"/>
        </w:rPr>
        <w:t>При этом в соответствии со статьей 356 Налогового кодекса вопрос об установлении налоговых льгот по транспортному налогу для отдельных категорий налогоплательщиков, в том числе в отношении владельцев транспортных средств, имеющих разрешенную максимальную массу свыше 12 тонн, может быть решен на региональном уровне.</w:t>
      </w:r>
    </w:p>
    <w:p w14:paraId="2D000000" w14:textId="77777777" w:rsidR="00293AC1" w:rsidRDefault="00606BE4">
      <w:pPr>
        <w:ind w:firstLine="709"/>
        <w:jc w:val="both"/>
        <w:rPr>
          <w:rFonts w:ascii="Arial" w:hAnsi="Arial"/>
        </w:rPr>
      </w:pPr>
      <w:r>
        <w:rPr>
          <w:rFonts w:ascii="Arial" w:hAnsi="Arial"/>
        </w:rPr>
        <w:t xml:space="preserve">Законом Красноярского края «О  транспортном налоге» льгота для указанной категории налогоплательщиков не предусмотрена. В </w:t>
      </w:r>
      <w:proofErr w:type="gramStart"/>
      <w:r>
        <w:rPr>
          <w:rFonts w:ascii="Arial" w:hAnsi="Arial"/>
        </w:rPr>
        <w:t>связи</w:t>
      </w:r>
      <w:proofErr w:type="gramEnd"/>
      <w:r>
        <w:rPr>
          <w:rFonts w:ascii="Arial" w:hAnsi="Arial"/>
        </w:rPr>
        <w:t xml:space="preserve"> с чем транспортный налог за 2019 год по транспортным средствам, имеющим разрешенную максимальную массу свыше 12 тонн, будет исчислен в полном объеме без применения налогового вычета в размере платы в систему «Платон».</w:t>
      </w:r>
    </w:p>
    <w:p w14:paraId="2E000000" w14:textId="77777777" w:rsidR="00293AC1" w:rsidRDefault="00293AC1">
      <w:pPr>
        <w:spacing w:line="240" w:lineRule="auto"/>
        <w:ind w:firstLine="567"/>
        <w:contextualSpacing/>
        <w:jc w:val="both"/>
        <w:rPr>
          <w:rFonts w:ascii="Arial" w:hAnsi="Arial"/>
        </w:rPr>
      </w:pPr>
    </w:p>
    <w:p w14:paraId="2F000000" w14:textId="77777777" w:rsidR="00293AC1" w:rsidRDefault="00293AC1"/>
    <w:sectPr w:rsidR="00293AC1">
      <w:pgSz w:w="11906" w:h="16838"/>
      <w:pgMar w:top="567"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E73B2"/>
    <w:multiLevelType w:val="multilevel"/>
    <w:tmpl w:val="9DDA56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7D905FD0"/>
    <w:multiLevelType w:val="multilevel"/>
    <w:tmpl w:val="E10061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93AC1"/>
    <w:rsid w:val="00293AC1"/>
    <w:rsid w:val="00606BE4"/>
    <w:rsid w:val="00656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line="276" w:lineRule="auto"/>
    </w:pPr>
  </w:style>
  <w:style w:type="paragraph" w:styleId="10">
    <w:name w:val="heading 1"/>
    <w:next w:val="a"/>
    <w:link w:val="11"/>
    <w:uiPriority w:val="9"/>
    <w:qFormat/>
    <w:pPr>
      <w:spacing w:before="120" w:after="120"/>
      <w:outlineLvl w:val="0"/>
    </w:pPr>
    <w:rPr>
      <w:b/>
      <w:sz w:val="32"/>
    </w:rPr>
  </w:style>
  <w:style w:type="paragraph" w:styleId="2">
    <w:name w:val="heading 2"/>
    <w:next w:val="a"/>
    <w:link w:val="20"/>
    <w:uiPriority w:val="9"/>
    <w:qFormat/>
    <w:pPr>
      <w:spacing w:before="120" w:after="120"/>
      <w:outlineLvl w:val="1"/>
    </w:pPr>
    <w:rPr>
      <w:b/>
      <w:color w:val="00A0FF"/>
      <w:sz w:val="26"/>
    </w:rPr>
  </w:style>
  <w:style w:type="paragraph" w:styleId="3">
    <w:name w:val="heading 3"/>
    <w:next w:val="a"/>
    <w:link w:val="30"/>
    <w:uiPriority w:val="9"/>
    <w:qFormat/>
    <w:pPr>
      <w:outlineLvl w:val="2"/>
    </w:pPr>
    <w:rPr>
      <w:b/>
      <w:i/>
    </w:rPr>
  </w:style>
  <w:style w:type="paragraph" w:styleId="4">
    <w:name w:val="heading 4"/>
    <w:next w:val="a"/>
    <w:link w:val="40"/>
    <w:uiPriority w:val="9"/>
    <w:qFormat/>
    <w:pPr>
      <w:spacing w:before="120" w:after="120"/>
      <w:outlineLvl w:val="3"/>
    </w:pPr>
    <w:rPr>
      <w:b/>
      <w:color w:val="595959"/>
      <w:sz w:val="26"/>
    </w:rPr>
  </w:style>
  <w:style w:type="paragraph" w:styleId="5">
    <w:name w:val="heading 5"/>
    <w:next w:val="a"/>
    <w:link w:val="50"/>
    <w:uiPriority w:val="9"/>
    <w:qFormat/>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rPr>
  </w:style>
  <w:style w:type="character" w:customStyle="1" w:styleId="14">
    <w:name w:val="Оглавление 1 Знак"/>
    <w:link w:val="13"/>
    <w:rPr>
      <w:rFonts w:ascii="XO Thames" w:hAnsi="XO Thames"/>
      <w:b/>
    </w:rPr>
  </w:style>
  <w:style w:type="paragraph" w:customStyle="1" w:styleId="HeaderandFooter">
    <w:name w:val="Header and Footer"/>
    <w:link w:val="HeaderandFooter0"/>
    <w:pPr>
      <w:spacing w:line="360" w:lineRule="auto"/>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next w:val="a"/>
    <w:link w:val="a5"/>
    <w:uiPriority w:val="11"/>
    <w:qFormat/>
    <w:rPr>
      <w:i/>
      <w:color w:val="616161"/>
    </w:rPr>
  </w:style>
  <w:style w:type="character" w:customStyle="1" w:styleId="a5">
    <w:name w:val="Подзаголовок Знак"/>
    <w:link w:val="a4"/>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rPr>
      <w:b/>
      <w:sz w:val="52"/>
    </w:rPr>
  </w:style>
  <w:style w:type="character" w:customStyle="1" w:styleId="a7">
    <w:name w:val="Название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nalog.garant.ru/fns/nk/9cd87e493d9fc9c9d85aab7e16da903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kfl.nalog.ru/l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83982/" TargetMode="External"/><Relationship Id="rId11" Type="http://schemas.openxmlformats.org/officeDocument/2006/relationships/hyperlink" Target="https://www.nalog.ru/rn77/service/tax/" TargetMode="External"/><Relationship Id="rId5" Type="http://schemas.openxmlformats.org/officeDocument/2006/relationships/webSettings" Target="webSettings.xml"/><Relationship Id="rId10" Type="http://schemas.openxmlformats.org/officeDocument/2006/relationships/hyperlink" Target="http://www.nalog.ru" TargetMode="External"/><Relationship Id="rId4" Type="http://schemas.openxmlformats.org/officeDocument/2006/relationships/settings" Target="settings.xml"/><Relationship Id="rId9" Type="http://schemas.openxmlformats.org/officeDocument/2006/relationships/hyperlink" Target="http://nalog.garant.ru/fns/nk/5e8d85f184efe4d53f7674c8a4638260/"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1244</Words>
  <Characters>7095</Characters>
  <Application>Microsoft Office Word</Application>
  <DocSecurity>0</DocSecurity>
  <Lines>59</Lines>
  <Paragraphs>16</Paragraphs>
  <ScaleCrop>false</ScaleCrop>
  <Company/>
  <LinksUpToDate>false</LinksUpToDate>
  <CharactersWithSpaces>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Щеглова Наталья Владимировна</cp:lastModifiedBy>
  <cp:revision>3</cp:revision>
  <dcterms:created xsi:type="dcterms:W3CDTF">2020-04-13T04:00:00Z</dcterms:created>
  <dcterms:modified xsi:type="dcterms:W3CDTF">2020-04-13T04:02:00Z</dcterms:modified>
</cp:coreProperties>
</file>